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3CB1" w14:textId="77777777" w:rsidR="00BB7D4B" w:rsidRDefault="00BB7D4B">
      <w:pPr>
        <w:spacing w:before="2400" w:after="200"/>
      </w:pPr>
    </w:p>
    <w:p w14:paraId="5DB5380D" w14:textId="77777777" w:rsidR="00BB7D4B" w:rsidRDefault="00DD48B2">
      <w:pPr>
        <w:spacing w:after="200"/>
        <w:jc w:val="center"/>
      </w:pPr>
      <w:r>
        <w:rPr>
          <w:b/>
          <w:bCs/>
          <w:color w:val="1B3A2E"/>
          <w:sz w:val="44"/>
          <w:szCs w:val="44"/>
        </w:rPr>
        <w:t>CRM &amp; PRM Architecture</w:t>
      </w:r>
    </w:p>
    <w:p w14:paraId="0C343E31" w14:textId="77777777" w:rsidR="00BB7D4B" w:rsidRDefault="00DD48B2">
      <w:pPr>
        <w:spacing w:after="100"/>
        <w:jc w:val="center"/>
      </w:pPr>
      <w:r>
        <w:rPr>
          <w:b/>
          <w:bCs/>
          <w:color w:val="1B3A2E"/>
          <w:sz w:val="44"/>
          <w:szCs w:val="44"/>
        </w:rPr>
        <w:t>for Partner Ecosystems</w:t>
      </w:r>
    </w:p>
    <w:p w14:paraId="4B428DC1" w14:textId="77777777" w:rsidR="00BB7D4B" w:rsidRDefault="00BB7D4B">
      <w:pPr>
        <w:pBdr>
          <w:bottom w:val="single" w:sz="6" w:space="12" w:color="A1ACA6"/>
        </w:pBdr>
        <w:spacing w:after="400"/>
        <w:jc w:val="center"/>
      </w:pPr>
    </w:p>
    <w:p w14:paraId="5345088B" w14:textId="77777777" w:rsidR="00BB7D4B" w:rsidRDefault="00DD48B2">
      <w:pPr>
        <w:spacing w:before="200" w:after="160"/>
        <w:jc w:val="center"/>
      </w:pPr>
      <w:r>
        <w:rPr>
          <w:i/>
          <w:iCs/>
          <w:color w:val="555555"/>
          <w:sz w:val="24"/>
          <w:szCs w:val="24"/>
        </w:rPr>
        <w:t>A framework for designing the technology stack behind modern partner programs</w:t>
      </w:r>
    </w:p>
    <w:p w14:paraId="1A6597C3" w14:textId="77777777" w:rsidR="00BB7D4B" w:rsidRDefault="00DD48B2">
      <w:pPr>
        <w:spacing w:after="160"/>
        <w:jc w:val="center"/>
      </w:pPr>
      <w:r>
        <w:rPr>
          <w:color w:val="46624C"/>
        </w:rPr>
        <w:t>jamiereidchannelstrategy.com</w:t>
      </w:r>
    </w:p>
    <w:p w14:paraId="467BD075" w14:textId="77777777" w:rsidR="00BB7D4B" w:rsidRDefault="00DD48B2">
      <w:r>
        <w:br w:type="page"/>
      </w:r>
    </w:p>
    <w:p w14:paraId="16F8F053" w14:textId="77777777" w:rsidR="00BB7D4B" w:rsidRDefault="00DD48B2">
      <w:pPr>
        <w:pStyle w:val="Heading1"/>
      </w:pPr>
      <w:r>
        <w:lastRenderedPageBreak/>
        <w:t>Introduction</w:t>
      </w:r>
    </w:p>
    <w:p w14:paraId="67284F21" w14:textId="77777777" w:rsidR="00BB7D4B" w:rsidRDefault="00DD48B2">
      <w:pPr>
        <w:spacing w:before="80" w:after="160"/>
      </w:pPr>
      <w:r>
        <w:t>Most partner teams start their infrastructure journey by evaluating PRM platforms. That’s usually backwards.</w:t>
      </w:r>
    </w:p>
    <w:p w14:paraId="1070A0EC" w14:textId="7EB07FB1" w:rsidR="00BB7D4B" w:rsidRDefault="00DD48B2">
      <w:pPr>
        <w:spacing w:before="80" w:after="160"/>
      </w:pPr>
      <w:r>
        <w:t>Your CRM architecture determines how partner data, opportunities, attribution, and engagement are tracked. The PRM is the partner-facing interface into that system</w:t>
      </w:r>
      <w:r w:rsidR="00475051">
        <w:t>,</w:t>
      </w:r>
      <w:r>
        <w:t xml:space="preserve"> not the other way around.</w:t>
      </w:r>
    </w:p>
    <w:p w14:paraId="4BDA41D8" w14:textId="77777777" w:rsidR="00BB7D4B" w:rsidRDefault="00DD48B2">
      <w:pPr>
        <w:spacing w:before="80" w:after="160"/>
      </w:pPr>
      <w:r>
        <w:t>The real question isn’t “which PRM should we buy?” It’s: what partner ecosystem are we trying to support, and what architecture enables that ecosystem to operate effectively?</w:t>
      </w:r>
    </w:p>
    <w:p w14:paraId="0F1CD995" w14:textId="77777777" w:rsidR="00BB7D4B" w:rsidRDefault="00DD48B2">
      <w:pPr>
        <w:spacing w:before="80" w:after="160"/>
      </w:pPr>
      <w:r>
        <w:t>This framework outlines the major considerations when aligning CRM architecture, PRM platforms, and supporting ecosystem tools. It covers partner motion design, CRM data architecture, integration patterns, supporting systems, and the most common mistakes that undermine partner program infrastructure.</w:t>
      </w:r>
    </w:p>
    <w:p w14:paraId="60D3E1FF" w14:textId="5AD6ACB7" w:rsidR="00BB7D4B" w:rsidRDefault="00DD48B2">
      <w:pPr>
        <w:pStyle w:val="Heading1"/>
      </w:pPr>
      <w:r>
        <w:t xml:space="preserve">1. Start With Partner </w:t>
      </w:r>
      <w:proofErr w:type="gramStart"/>
      <w:r>
        <w:t xml:space="preserve">Motion </w:t>
      </w:r>
      <w:r w:rsidR="00475051">
        <w:t>:</w:t>
      </w:r>
      <w:proofErr w:type="gramEnd"/>
      <w:r>
        <w:t xml:space="preserve"> Not Technology</w:t>
      </w:r>
    </w:p>
    <w:p w14:paraId="3B91EEAB" w14:textId="77777777" w:rsidR="00BB7D4B" w:rsidRDefault="00DD48B2">
      <w:pPr>
        <w:spacing w:before="80" w:after="160"/>
      </w:pPr>
      <w:r>
        <w:t>The type of partners you work with determines the infrastructure you need. Different partner ecosystems require fundamentally different technology stacks.</w:t>
      </w:r>
    </w:p>
    <w:p w14:paraId="687DF9B3" w14:textId="77777777" w:rsidR="00BB7D4B" w:rsidRDefault="00DD48B2">
      <w:pPr>
        <w:spacing w:before="80" w:after="160"/>
      </w:pPr>
      <w:r>
        <w:t>Common partner motions include:</w:t>
      </w:r>
    </w:p>
    <w:p w14:paraId="43E1313A" w14:textId="3A227A3A" w:rsidR="00BB7D4B" w:rsidRDefault="00DD48B2">
      <w:pPr>
        <w:pStyle w:val="ListParagraph"/>
        <w:numPr>
          <w:ilvl w:val="0"/>
          <w:numId w:val="2"/>
        </w:numPr>
        <w:spacing w:before="60" w:after="60"/>
      </w:pPr>
      <w:proofErr w:type="gramStart"/>
      <w:r>
        <w:t>Resell</w:t>
      </w:r>
      <w:r w:rsidR="00475051">
        <w:t>er</w:t>
      </w:r>
      <w:r>
        <w:t xml:space="preserve"> </w:t>
      </w:r>
      <w:r w:rsidR="00475051">
        <w:t>,</w:t>
      </w:r>
      <w:proofErr w:type="gramEnd"/>
      <w:r>
        <w:t xml:space="preserve"> partners transact deals directly and earn margin.</w:t>
      </w:r>
    </w:p>
    <w:p w14:paraId="312A58CF" w14:textId="40B749F1" w:rsidR="00BB7D4B" w:rsidRDefault="00DD48B2">
      <w:pPr>
        <w:pStyle w:val="ListParagraph"/>
        <w:numPr>
          <w:ilvl w:val="0"/>
          <w:numId w:val="2"/>
        </w:numPr>
        <w:spacing w:before="60" w:after="60"/>
      </w:pPr>
      <w:proofErr w:type="gramStart"/>
      <w:r>
        <w:t xml:space="preserve">Referral </w:t>
      </w:r>
      <w:r w:rsidR="00475051">
        <w:t>,</w:t>
      </w:r>
      <w:proofErr w:type="gramEnd"/>
      <w:r>
        <w:t xml:space="preserve"> partners submit leads and receive referral fees.</w:t>
      </w:r>
    </w:p>
    <w:p w14:paraId="409DD5C4" w14:textId="57E41F6E" w:rsidR="00BB7D4B" w:rsidRDefault="00DD48B2">
      <w:pPr>
        <w:pStyle w:val="ListParagraph"/>
        <w:numPr>
          <w:ilvl w:val="0"/>
          <w:numId w:val="2"/>
        </w:numPr>
        <w:spacing w:before="60" w:after="60"/>
      </w:pPr>
      <w:r>
        <w:t>Co-</w:t>
      </w:r>
      <w:proofErr w:type="gramStart"/>
      <w:r>
        <w:t xml:space="preserve">Sell </w:t>
      </w:r>
      <w:r w:rsidR="00475051">
        <w:t>,</w:t>
      </w:r>
      <w:proofErr w:type="gramEnd"/>
      <w:r>
        <w:t xml:space="preserve"> vendor and partner collaborate on pipeline and share deal credit.</w:t>
      </w:r>
    </w:p>
    <w:p w14:paraId="021E8E82" w14:textId="6050A109" w:rsidR="00BB7D4B" w:rsidRDefault="00DD48B2">
      <w:pPr>
        <w:pStyle w:val="ListParagraph"/>
        <w:numPr>
          <w:ilvl w:val="0"/>
          <w:numId w:val="2"/>
        </w:numPr>
        <w:spacing w:before="60" w:after="60"/>
      </w:pPr>
      <w:r>
        <w:t xml:space="preserve">Services / </w:t>
      </w:r>
      <w:proofErr w:type="gramStart"/>
      <w:r>
        <w:t xml:space="preserve">Implementation </w:t>
      </w:r>
      <w:r w:rsidR="00475051">
        <w:t>,</w:t>
      </w:r>
      <w:proofErr w:type="gramEnd"/>
      <w:r>
        <w:t xml:space="preserve"> partners deliver implementation and consulting services.</w:t>
      </w:r>
    </w:p>
    <w:p w14:paraId="694DBD95" w14:textId="52C59383" w:rsidR="00BB7D4B" w:rsidRDefault="00DD48B2">
      <w:pPr>
        <w:pStyle w:val="ListParagraph"/>
        <w:numPr>
          <w:ilvl w:val="0"/>
          <w:numId w:val="2"/>
        </w:numPr>
        <w:spacing w:before="60" w:after="60"/>
      </w:pPr>
      <w:r>
        <w:t xml:space="preserve">Technology / </w:t>
      </w:r>
      <w:proofErr w:type="gramStart"/>
      <w:r>
        <w:t xml:space="preserve">ISV </w:t>
      </w:r>
      <w:r w:rsidR="00475051">
        <w:t>,</w:t>
      </w:r>
      <w:proofErr w:type="gramEnd"/>
      <w:r>
        <w:t xml:space="preserve"> partners integrate their products with your platform.</w:t>
      </w:r>
    </w:p>
    <w:p w14:paraId="666EEB59" w14:textId="5096DED7" w:rsidR="00BB7D4B" w:rsidRDefault="00DD48B2">
      <w:pPr>
        <w:pStyle w:val="ListParagraph"/>
        <w:numPr>
          <w:ilvl w:val="0"/>
          <w:numId w:val="2"/>
        </w:numPr>
        <w:spacing w:before="60" w:after="60"/>
      </w:pPr>
      <w:r>
        <w:t xml:space="preserve">Affiliate / </w:t>
      </w:r>
      <w:proofErr w:type="gramStart"/>
      <w:r>
        <w:t xml:space="preserve">Influencer </w:t>
      </w:r>
      <w:r w:rsidR="00475051">
        <w:t>,</w:t>
      </w:r>
      <w:proofErr w:type="gramEnd"/>
      <w:r>
        <w:t xml:space="preserve"> partners drive digital traffic and earn commission.</w:t>
      </w:r>
    </w:p>
    <w:p w14:paraId="4847AD97" w14:textId="739EF0FF" w:rsidR="00BB7D4B" w:rsidRDefault="00DD48B2">
      <w:pPr>
        <w:pStyle w:val="ListParagraph"/>
        <w:numPr>
          <w:ilvl w:val="0"/>
          <w:numId w:val="2"/>
        </w:numPr>
        <w:spacing w:before="60" w:after="60"/>
      </w:pPr>
      <w:proofErr w:type="gramStart"/>
      <w:r>
        <w:t xml:space="preserve">Marketplace </w:t>
      </w:r>
      <w:r w:rsidR="00475051">
        <w:t>,</w:t>
      </w:r>
      <w:proofErr w:type="gramEnd"/>
      <w:r>
        <w:t xml:space="preserve"> partners list, transact, or co-sell through a vendor or third-party marketplace platform (e.g., AWS Marketplace, Azure Marketplace, Salesforce AppExchange).</w:t>
      </w:r>
    </w:p>
    <w:p w14:paraId="7C376207" w14:textId="77777777" w:rsidR="00BB7D4B" w:rsidRDefault="00DD48B2">
      <w:pPr>
        <w:spacing w:before="80" w:after="160"/>
      </w:pPr>
      <w:r>
        <w:t>Traditional PRMs were designed primarily for reseller channel programs. Modern ecosystems often combine co-</w:t>
      </w:r>
      <w:proofErr w:type="gramStart"/>
      <w:r>
        <w:t>sell</w:t>
      </w:r>
      <w:proofErr w:type="gramEnd"/>
      <w:r>
        <w:t>, technology alliances, services partners, and referrals, which may require a broader ecosystem platform approach. The table below maps each motion to its typical infrastructure.</w:t>
      </w:r>
    </w:p>
    <w:p w14:paraId="73B899C8" w14:textId="77777777" w:rsidR="00BB7D4B" w:rsidRDefault="00BB7D4B">
      <w:pPr>
        <w:spacing w:before="10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360"/>
        <w:gridCol w:w="2800"/>
      </w:tblGrid>
      <w:tr w:rsidR="00BB7D4B" w14:paraId="740867E9" w14:textId="77777777">
        <w:tblPrEx>
          <w:tblCellMar>
            <w:top w:w="0" w:type="dxa"/>
            <w:bottom w:w="0" w:type="dxa"/>
          </w:tblCellMar>
        </w:tblPrEx>
        <w:trPr>
          <w:tblHeader/>
        </w:trPr>
        <w:tc>
          <w:tcPr>
            <w:tcW w:w="2200"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0BF080F9" w14:textId="77777777" w:rsidR="00BB7D4B" w:rsidRDefault="00DD48B2">
            <w:r>
              <w:rPr>
                <w:b/>
                <w:bCs/>
                <w:color w:val="FFFFFF"/>
                <w:sz w:val="20"/>
                <w:szCs w:val="20"/>
              </w:rPr>
              <w:t>Partner Motion</w:t>
            </w:r>
          </w:p>
        </w:tc>
        <w:tc>
          <w:tcPr>
            <w:tcW w:w="4360"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249098EA" w14:textId="77777777" w:rsidR="00BB7D4B" w:rsidRDefault="00DD48B2">
            <w:r>
              <w:rPr>
                <w:b/>
                <w:bCs/>
                <w:color w:val="FFFFFF"/>
                <w:sz w:val="20"/>
                <w:szCs w:val="20"/>
              </w:rPr>
              <w:t>How It Works</w:t>
            </w:r>
          </w:p>
        </w:tc>
        <w:tc>
          <w:tcPr>
            <w:tcW w:w="2800"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5A471549" w14:textId="77777777" w:rsidR="00BB7D4B" w:rsidRDefault="00DD48B2">
            <w:r>
              <w:rPr>
                <w:b/>
                <w:bCs/>
                <w:color w:val="FFFFFF"/>
                <w:sz w:val="20"/>
                <w:szCs w:val="20"/>
              </w:rPr>
              <w:t>Typical Stack</w:t>
            </w:r>
          </w:p>
        </w:tc>
      </w:tr>
      <w:tr w:rsidR="00BB7D4B" w14:paraId="46FF514C"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0187400C" w14:textId="738441A3" w:rsidR="00BB7D4B" w:rsidRDefault="00DD48B2">
            <w:r>
              <w:rPr>
                <w:b/>
                <w:bCs/>
                <w:sz w:val="20"/>
                <w:szCs w:val="20"/>
              </w:rPr>
              <w:t>Resell</w:t>
            </w:r>
            <w:r w:rsidR="00475051">
              <w:rPr>
                <w:b/>
                <w:bCs/>
                <w:sz w:val="20"/>
                <w:szCs w:val="20"/>
              </w:rPr>
              <w:t>er</w:t>
            </w:r>
          </w:p>
        </w:tc>
        <w:tc>
          <w:tcPr>
            <w:tcW w:w="436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CB0BD23" w14:textId="77777777" w:rsidR="00BB7D4B" w:rsidRDefault="00DD48B2">
            <w:r>
              <w:rPr>
                <w:color w:val="555555"/>
                <w:sz w:val="20"/>
                <w:szCs w:val="20"/>
              </w:rPr>
              <w:t>Partners transact deals and earn margin</w:t>
            </w:r>
          </w:p>
        </w:tc>
        <w:tc>
          <w:tcPr>
            <w:tcW w:w="28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6354CB12" w14:textId="77777777" w:rsidR="00BB7D4B" w:rsidRDefault="00DD48B2">
            <w:r>
              <w:rPr>
                <w:color w:val="555555"/>
                <w:sz w:val="20"/>
                <w:szCs w:val="20"/>
              </w:rPr>
              <w:t>Traditional PRM</w:t>
            </w:r>
          </w:p>
        </w:tc>
      </w:tr>
      <w:tr w:rsidR="00BB7D4B" w14:paraId="0E57560B"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BDEAFB1" w14:textId="77777777" w:rsidR="00BB7D4B" w:rsidRDefault="00DD48B2">
            <w:r>
              <w:rPr>
                <w:b/>
                <w:bCs/>
                <w:sz w:val="20"/>
                <w:szCs w:val="20"/>
              </w:rPr>
              <w:t>Referral</w:t>
            </w:r>
          </w:p>
        </w:tc>
        <w:tc>
          <w:tcPr>
            <w:tcW w:w="436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39070666" w14:textId="77777777" w:rsidR="00BB7D4B" w:rsidRDefault="00DD48B2">
            <w:r>
              <w:rPr>
                <w:color w:val="555555"/>
                <w:sz w:val="20"/>
                <w:szCs w:val="20"/>
              </w:rPr>
              <w:t>Partners submit leads and earn referral fees</w:t>
            </w:r>
          </w:p>
        </w:tc>
        <w:tc>
          <w:tcPr>
            <w:tcW w:w="28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5D8D3C83" w14:textId="77777777" w:rsidR="00BB7D4B" w:rsidRDefault="00DD48B2">
            <w:r>
              <w:rPr>
                <w:color w:val="555555"/>
                <w:sz w:val="20"/>
                <w:szCs w:val="20"/>
              </w:rPr>
              <w:t>Referral / affiliate platform</w:t>
            </w:r>
          </w:p>
        </w:tc>
      </w:tr>
      <w:tr w:rsidR="00BB7D4B" w14:paraId="7496EE87"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78C9F6A" w14:textId="77777777" w:rsidR="00BB7D4B" w:rsidRDefault="00DD48B2">
            <w:r>
              <w:rPr>
                <w:b/>
                <w:bCs/>
                <w:sz w:val="20"/>
                <w:szCs w:val="20"/>
              </w:rPr>
              <w:t>Co-Sell</w:t>
            </w:r>
          </w:p>
        </w:tc>
        <w:tc>
          <w:tcPr>
            <w:tcW w:w="436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78CC80EB" w14:textId="77777777" w:rsidR="00BB7D4B" w:rsidRDefault="00DD48B2">
            <w:r>
              <w:rPr>
                <w:color w:val="555555"/>
                <w:sz w:val="20"/>
                <w:szCs w:val="20"/>
              </w:rPr>
              <w:t>Vendor and partner collaborate on shared pipeline</w:t>
            </w:r>
          </w:p>
        </w:tc>
        <w:tc>
          <w:tcPr>
            <w:tcW w:w="28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87AA849" w14:textId="77777777" w:rsidR="00BB7D4B" w:rsidRDefault="00DD48B2">
            <w:r>
              <w:rPr>
                <w:color w:val="555555"/>
                <w:sz w:val="20"/>
                <w:szCs w:val="20"/>
              </w:rPr>
              <w:t>Ecosystem platform + PRM</w:t>
            </w:r>
          </w:p>
        </w:tc>
      </w:tr>
      <w:tr w:rsidR="00BB7D4B" w14:paraId="3062367B"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5D49B477" w14:textId="77777777" w:rsidR="00BB7D4B" w:rsidRDefault="00DD48B2">
            <w:r>
              <w:rPr>
                <w:b/>
                <w:bCs/>
                <w:sz w:val="20"/>
                <w:szCs w:val="20"/>
              </w:rPr>
              <w:t>Services / Implementation</w:t>
            </w:r>
          </w:p>
        </w:tc>
        <w:tc>
          <w:tcPr>
            <w:tcW w:w="436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6F9D2A25" w14:textId="77777777" w:rsidR="00BB7D4B" w:rsidRDefault="00DD48B2">
            <w:r>
              <w:rPr>
                <w:color w:val="555555"/>
                <w:sz w:val="20"/>
                <w:szCs w:val="20"/>
              </w:rPr>
              <w:t>Partners deliver implementation or consulting</w:t>
            </w:r>
          </w:p>
        </w:tc>
        <w:tc>
          <w:tcPr>
            <w:tcW w:w="28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7B66C360" w14:textId="77777777" w:rsidR="00BB7D4B" w:rsidRDefault="00DD48B2">
            <w:r>
              <w:rPr>
                <w:color w:val="555555"/>
                <w:sz w:val="20"/>
                <w:szCs w:val="20"/>
              </w:rPr>
              <w:t>CRM + LMS integration</w:t>
            </w:r>
          </w:p>
        </w:tc>
      </w:tr>
      <w:tr w:rsidR="00BB7D4B" w14:paraId="1787B385"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2D0E938" w14:textId="77777777" w:rsidR="00BB7D4B" w:rsidRDefault="00DD48B2">
            <w:r>
              <w:rPr>
                <w:b/>
                <w:bCs/>
                <w:sz w:val="20"/>
                <w:szCs w:val="20"/>
              </w:rPr>
              <w:t>Technology / ISV</w:t>
            </w:r>
          </w:p>
        </w:tc>
        <w:tc>
          <w:tcPr>
            <w:tcW w:w="436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638FEFB2" w14:textId="77777777" w:rsidR="00BB7D4B" w:rsidRDefault="00DD48B2">
            <w:r>
              <w:rPr>
                <w:color w:val="555555"/>
                <w:sz w:val="20"/>
                <w:szCs w:val="20"/>
              </w:rPr>
              <w:t>Partners integrate their product with your platform</w:t>
            </w:r>
          </w:p>
        </w:tc>
        <w:tc>
          <w:tcPr>
            <w:tcW w:w="28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23EB5E27" w14:textId="77777777" w:rsidR="00BB7D4B" w:rsidRDefault="00DD48B2">
            <w:r>
              <w:rPr>
                <w:color w:val="555555"/>
                <w:sz w:val="20"/>
                <w:szCs w:val="20"/>
              </w:rPr>
              <w:t>Ecosystem platform</w:t>
            </w:r>
          </w:p>
        </w:tc>
      </w:tr>
      <w:tr w:rsidR="00BB7D4B" w14:paraId="136AC1A2"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BFEB561" w14:textId="77777777" w:rsidR="00BB7D4B" w:rsidRDefault="00DD48B2">
            <w:r>
              <w:rPr>
                <w:b/>
                <w:bCs/>
                <w:sz w:val="20"/>
                <w:szCs w:val="20"/>
              </w:rPr>
              <w:lastRenderedPageBreak/>
              <w:t>Affiliate / Influencer</w:t>
            </w:r>
          </w:p>
        </w:tc>
        <w:tc>
          <w:tcPr>
            <w:tcW w:w="436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05812FB2" w14:textId="77777777" w:rsidR="00BB7D4B" w:rsidRDefault="00DD48B2">
            <w:r>
              <w:rPr>
                <w:color w:val="555555"/>
                <w:sz w:val="20"/>
                <w:szCs w:val="20"/>
              </w:rPr>
              <w:t>Partners drive digital traffic and earn commission</w:t>
            </w:r>
          </w:p>
        </w:tc>
        <w:tc>
          <w:tcPr>
            <w:tcW w:w="280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80F70E4" w14:textId="77777777" w:rsidR="00BB7D4B" w:rsidRDefault="00DD48B2">
            <w:r>
              <w:rPr>
                <w:color w:val="555555"/>
                <w:sz w:val="20"/>
                <w:szCs w:val="20"/>
              </w:rPr>
              <w:t>Affiliate / referral platform</w:t>
            </w:r>
          </w:p>
        </w:tc>
      </w:tr>
      <w:tr w:rsidR="00BB7D4B" w14:paraId="56B431A3" w14:textId="77777777">
        <w:tblPrEx>
          <w:tblCellMar>
            <w:top w:w="0" w:type="dxa"/>
            <w:bottom w:w="0" w:type="dxa"/>
          </w:tblCellMar>
        </w:tblPrEx>
        <w:tc>
          <w:tcPr>
            <w:tcW w:w="22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01931F6C" w14:textId="77777777" w:rsidR="00BB7D4B" w:rsidRDefault="00DD48B2">
            <w:r>
              <w:rPr>
                <w:b/>
                <w:bCs/>
                <w:sz w:val="20"/>
                <w:szCs w:val="20"/>
              </w:rPr>
              <w:t>Marketplace</w:t>
            </w:r>
          </w:p>
        </w:tc>
        <w:tc>
          <w:tcPr>
            <w:tcW w:w="436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04293539" w14:textId="77777777" w:rsidR="00BB7D4B" w:rsidRDefault="00DD48B2">
            <w:r>
              <w:rPr>
                <w:color w:val="555555"/>
                <w:sz w:val="20"/>
                <w:szCs w:val="20"/>
              </w:rPr>
              <w:t>Partners list or transact through a vendor or third-party marketplace</w:t>
            </w:r>
          </w:p>
        </w:tc>
        <w:tc>
          <w:tcPr>
            <w:tcW w:w="280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BEB8E05" w14:textId="77777777" w:rsidR="00BB7D4B" w:rsidRDefault="00DD48B2">
            <w:r>
              <w:rPr>
                <w:color w:val="555555"/>
                <w:sz w:val="20"/>
                <w:szCs w:val="20"/>
              </w:rPr>
              <w:t>Marketplace platform + CRM integration</w:t>
            </w:r>
          </w:p>
        </w:tc>
      </w:tr>
    </w:tbl>
    <w:p w14:paraId="59E1104E" w14:textId="77777777" w:rsidR="00BB7D4B" w:rsidRDefault="00DD48B2">
      <w:pPr>
        <w:pStyle w:val="Heading1"/>
      </w:pPr>
      <w:r>
        <w:t>2. CRM Architecture Comes First</w:t>
      </w:r>
    </w:p>
    <w:p w14:paraId="2A3B753A" w14:textId="77777777" w:rsidR="00BB7D4B" w:rsidRDefault="00DD48B2">
      <w:pPr>
        <w:spacing w:before="80" w:after="160"/>
      </w:pPr>
      <w:proofErr w:type="gramStart"/>
      <w:r>
        <w:t>The CRM</w:t>
      </w:r>
      <w:proofErr w:type="gramEnd"/>
      <w:r>
        <w:t xml:space="preserve"> is the system of record for revenue and pipeline, and it should remain the center of the partner ecosystem technology stack. Before selecting a PRM, partner operations teams should confirm that the CRM is structured to support partner analysis and partner-influenced revenue tracking.</w:t>
      </w:r>
    </w:p>
    <w:p w14:paraId="460CF355" w14:textId="77777777" w:rsidR="00BB7D4B" w:rsidRDefault="00DD48B2">
      <w:pPr>
        <w:pStyle w:val="Heading2"/>
      </w:pPr>
      <w:r>
        <w:t>Partner Account Structure</w:t>
      </w:r>
    </w:p>
    <w:p w14:paraId="79DFE5BB" w14:textId="77777777" w:rsidR="00BB7D4B" w:rsidRDefault="00DD48B2">
      <w:pPr>
        <w:spacing w:before="80" w:after="160"/>
      </w:pPr>
      <w:r>
        <w:t>Partner companies should exist as distinct account records within the CRM, separate from customer accounts. Recommended configuration includes a partner account type designation, partner tier or status field, partner segment classification, and region or territory alignment.</w:t>
      </w:r>
    </w:p>
    <w:p w14:paraId="1D7D3FAE" w14:textId="77777777" w:rsidR="00BB7D4B" w:rsidRDefault="00DD48B2">
      <w:pPr>
        <w:spacing w:before="80" w:after="160"/>
      </w:pPr>
      <w:r>
        <w:t>Many organizations also maintain partner parent-child hierarchies for large global or multi-region partners.</w:t>
      </w:r>
    </w:p>
    <w:p w14:paraId="6900BCB7" w14:textId="77777777" w:rsidR="00BB7D4B" w:rsidRDefault="00DD48B2">
      <w:pPr>
        <w:pStyle w:val="Heading2"/>
      </w:pPr>
      <w:r>
        <w:t>Partner Contact Tracking</w:t>
      </w:r>
    </w:p>
    <w:p w14:paraId="5C54B5C2" w14:textId="77777777" w:rsidR="00BB7D4B" w:rsidRDefault="00DD48B2">
      <w:pPr>
        <w:spacing w:before="80" w:after="160"/>
      </w:pPr>
      <w:r>
        <w:t>Partner contacts should be clearly associated with partner accounts, not mixed into the general contact database. Important fields often include partner role (seller, marketer, engineer, executive sponsor), certification status, enablement completion tracking, and partner portal user status.</w:t>
      </w:r>
    </w:p>
    <w:p w14:paraId="38CDC84A" w14:textId="77777777" w:rsidR="00BB7D4B" w:rsidRDefault="00DD48B2">
      <w:pPr>
        <w:spacing w:before="80" w:after="160"/>
      </w:pPr>
      <w:r>
        <w:t>Tracking these correctly allows teams to analyze partner engagement and enablement effectiveness across the ecosystem.</w:t>
      </w:r>
    </w:p>
    <w:p w14:paraId="49899F8A" w14:textId="77777777" w:rsidR="00BB7D4B" w:rsidRDefault="00DD48B2">
      <w:pPr>
        <w:pStyle w:val="Heading2"/>
      </w:pPr>
      <w:r>
        <w:t>Partner Opportunity Attribution</w:t>
      </w:r>
    </w:p>
    <w:p w14:paraId="3FBA571C" w14:textId="77777777" w:rsidR="00BB7D4B" w:rsidRDefault="00DD48B2">
      <w:pPr>
        <w:spacing w:before="80" w:after="160"/>
      </w:pPr>
      <w:r>
        <w:t>Opportunities should support partner attribution across multiple dimensions: partner sourced, partner influenced, partner fulfillment or implementation, and partner referral.</w:t>
      </w:r>
    </w:p>
    <w:p w14:paraId="6AACAF2D" w14:textId="77777777" w:rsidR="00BB7D4B" w:rsidRDefault="00DD48B2">
      <w:pPr>
        <w:spacing w:before="80" w:after="160"/>
      </w:pPr>
      <w:r>
        <w:t xml:space="preserve">Key considerations include auto-associating partner accounts with relevant opportunities, tracking multiple partners on a single deal, and maintaining attribution integrity through the full sales lifecycle. Without a clear attribution model built into the CRM, partner performance reporting becomes </w:t>
      </w:r>
      <w:proofErr w:type="gramStart"/>
      <w:r>
        <w:t>unreliable</w:t>
      </w:r>
      <w:proofErr w:type="gramEnd"/>
      <w:r>
        <w:t xml:space="preserve"> and partner scorecards become impossible to produce with confidence.</w:t>
      </w:r>
    </w:p>
    <w:p w14:paraId="7DC941A9" w14:textId="77777777" w:rsidR="00BB7D4B" w:rsidRDefault="00DD48B2">
      <w:pPr>
        <w:pStyle w:val="Heading1"/>
      </w:pPr>
      <w:r>
        <w:t>3. CRM Fields Required for Partner Analysis</w:t>
      </w:r>
    </w:p>
    <w:p w14:paraId="2CE8FB50" w14:textId="77777777" w:rsidR="00BB7D4B" w:rsidRDefault="00DD48B2">
      <w:pPr>
        <w:spacing w:before="80" w:after="160"/>
      </w:pPr>
      <w:r>
        <w:t>Many partner programs struggle with analytics simply because the correct fields were never designed into the CRM from the outset. Common fields required for reliable partner analysis include:</w:t>
      </w:r>
    </w:p>
    <w:p w14:paraId="00FDFCEA" w14:textId="77777777" w:rsidR="00BB7D4B" w:rsidRDefault="00DD48B2">
      <w:pPr>
        <w:pStyle w:val="ListParagraph"/>
        <w:numPr>
          <w:ilvl w:val="0"/>
          <w:numId w:val="2"/>
        </w:numPr>
        <w:spacing w:before="60" w:after="60"/>
      </w:pPr>
      <w:r>
        <w:t>Partner sourced pipeline</w:t>
      </w:r>
    </w:p>
    <w:p w14:paraId="2ADC501C" w14:textId="77777777" w:rsidR="00BB7D4B" w:rsidRDefault="00DD48B2">
      <w:pPr>
        <w:pStyle w:val="ListParagraph"/>
        <w:numPr>
          <w:ilvl w:val="0"/>
          <w:numId w:val="2"/>
        </w:numPr>
        <w:spacing w:before="60" w:after="60"/>
      </w:pPr>
      <w:r>
        <w:lastRenderedPageBreak/>
        <w:t>Partner influenced pipeline</w:t>
      </w:r>
    </w:p>
    <w:p w14:paraId="60FA175D" w14:textId="77777777" w:rsidR="00BB7D4B" w:rsidRDefault="00DD48B2">
      <w:pPr>
        <w:pStyle w:val="ListParagraph"/>
        <w:numPr>
          <w:ilvl w:val="0"/>
          <w:numId w:val="2"/>
        </w:numPr>
        <w:spacing w:before="60" w:after="60"/>
      </w:pPr>
      <w:r>
        <w:t>Partner deal registration ID</w:t>
      </w:r>
    </w:p>
    <w:p w14:paraId="755F4447" w14:textId="77777777" w:rsidR="00BB7D4B" w:rsidRDefault="00DD48B2">
      <w:pPr>
        <w:pStyle w:val="ListParagraph"/>
        <w:numPr>
          <w:ilvl w:val="0"/>
          <w:numId w:val="2"/>
        </w:numPr>
        <w:spacing w:before="60" w:after="60"/>
      </w:pPr>
      <w:r>
        <w:t>Partner type and motion</w:t>
      </w:r>
    </w:p>
    <w:p w14:paraId="62CB591E" w14:textId="77777777" w:rsidR="00BB7D4B" w:rsidRDefault="00DD48B2">
      <w:pPr>
        <w:pStyle w:val="ListParagraph"/>
        <w:numPr>
          <w:ilvl w:val="0"/>
          <w:numId w:val="2"/>
        </w:numPr>
        <w:spacing w:before="60" w:after="60"/>
      </w:pPr>
      <w:r>
        <w:t>Partner tier</w:t>
      </w:r>
    </w:p>
    <w:p w14:paraId="2E26C185" w14:textId="77777777" w:rsidR="00BB7D4B" w:rsidRDefault="00DD48B2">
      <w:pPr>
        <w:pStyle w:val="ListParagraph"/>
        <w:numPr>
          <w:ilvl w:val="0"/>
          <w:numId w:val="2"/>
        </w:numPr>
        <w:spacing w:before="60" w:after="60"/>
      </w:pPr>
      <w:r>
        <w:t>Partner account owner</w:t>
      </w:r>
    </w:p>
    <w:p w14:paraId="1FDADB31" w14:textId="77777777" w:rsidR="00BB7D4B" w:rsidRDefault="00DD48B2">
      <w:pPr>
        <w:pStyle w:val="ListParagraph"/>
        <w:numPr>
          <w:ilvl w:val="0"/>
          <w:numId w:val="2"/>
        </w:numPr>
        <w:spacing w:before="60" w:after="60"/>
      </w:pPr>
      <w:r>
        <w:t>Partner program status</w:t>
      </w:r>
    </w:p>
    <w:p w14:paraId="6A23FDD2" w14:textId="1A94EB1A" w:rsidR="00BB7D4B" w:rsidRDefault="00DD48B2">
      <w:pPr>
        <w:spacing w:before="80" w:after="160"/>
      </w:pPr>
      <w:r>
        <w:t>These fields allow partner operations teams to measure partner pipeline creation, partner conversion rates, partner sales cycle length, and partner revenue contribution. Without them, most partner reporting defaults to manual data cleanup or spreadsheet-based tracking</w:t>
      </w:r>
      <w:r w:rsidR="00475051">
        <w:t xml:space="preserve">, </w:t>
      </w:r>
      <w:r>
        <w:t>neither of which scales.</w:t>
      </w:r>
    </w:p>
    <w:p w14:paraId="01CD4A6B" w14:textId="77777777" w:rsidR="00BB7D4B" w:rsidRDefault="00DD48B2">
      <w:pPr>
        <w:pStyle w:val="Heading1"/>
      </w:pPr>
      <w:r>
        <w:t>4. Custom Objects for Partner Programs</w:t>
      </w:r>
    </w:p>
    <w:p w14:paraId="3BAC9847" w14:textId="77777777" w:rsidR="00BB7D4B" w:rsidRDefault="00DD48B2">
      <w:pPr>
        <w:spacing w:before="80" w:after="160"/>
      </w:pPr>
      <w:r>
        <w:t>Some partner programs require additional data structures that do not naturally exist within standard CRM objects. These typically take the form of custom objects.</w:t>
      </w:r>
    </w:p>
    <w:p w14:paraId="675AB87B" w14:textId="77777777" w:rsidR="00BB7D4B" w:rsidRDefault="00DD48B2">
      <w:pPr>
        <w:spacing w:before="80" w:after="160"/>
      </w:pPr>
      <w:r>
        <w:t>Common examples include:</w:t>
      </w:r>
    </w:p>
    <w:p w14:paraId="1E642B9D" w14:textId="77777777" w:rsidR="00BB7D4B" w:rsidRDefault="00DD48B2">
      <w:pPr>
        <w:pStyle w:val="ListParagraph"/>
        <w:numPr>
          <w:ilvl w:val="0"/>
          <w:numId w:val="2"/>
        </w:numPr>
        <w:spacing w:before="60" w:after="60"/>
      </w:pPr>
      <w:r>
        <w:t>Partner certifications</w:t>
      </w:r>
    </w:p>
    <w:p w14:paraId="03E9F337" w14:textId="77777777" w:rsidR="00BB7D4B" w:rsidRDefault="00DD48B2">
      <w:pPr>
        <w:pStyle w:val="ListParagraph"/>
        <w:numPr>
          <w:ilvl w:val="0"/>
          <w:numId w:val="2"/>
        </w:numPr>
        <w:spacing w:before="60" w:after="60"/>
      </w:pPr>
      <w:r>
        <w:t>Partner training completion records</w:t>
      </w:r>
    </w:p>
    <w:p w14:paraId="41243BE7" w14:textId="77777777" w:rsidR="00BB7D4B" w:rsidRDefault="00DD48B2">
      <w:pPr>
        <w:pStyle w:val="ListParagraph"/>
        <w:numPr>
          <w:ilvl w:val="0"/>
          <w:numId w:val="2"/>
        </w:numPr>
        <w:spacing w:before="60" w:after="60"/>
      </w:pPr>
      <w:r>
        <w:t>Joint business plans (JBPs)</w:t>
      </w:r>
    </w:p>
    <w:p w14:paraId="261AEC3B" w14:textId="77777777" w:rsidR="00BB7D4B" w:rsidRDefault="00DD48B2">
      <w:pPr>
        <w:pStyle w:val="ListParagraph"/>
        <w:numPr>
          <w:ilvl w:val="0"/>
          <w:numId w:val="2"/>
        </w:numPr>
        <w:spacing w:before="60" w:after="60"/>
      </w:pPr>
      <w:r>
        <w:t>Partner marketing activities</w:t>
      </w:r>
    </w:p>
    <w:p w14:paraId="71E548B4" w14:textId="77777777" w:rsidR="00BB7D4B" w:rsidRDefault="00DD48B2">
      <w:pPr>
        <w:pStyle w:val="ListParagraph"/>
        <w:numPr>
          <w:ilvl w:val="0"/>
          <w:numId w:val="2"/>
        </w:numPr>
        <w:spacing w:before="60" w:after="60"/>
      </w:pPr>
      <w:r>
        <w:t>MDF and BDF program participation</w:t>
      </w:r>
    </w:p>
    <w:p w14:paraId="04232737" w14:textId="77777777" w:rsidR="00BB7D4B" w:rsidRDefault="00DD48B2">
      <w:pPr>
        <w:pStyle w:val="ListParagraph"/>
        <w:numPr>
          <w:ilvl w:val="0"/>
          <w:numId w:val="2"/>
        </w:numPr>
        <w:spacing w:before="60" w:after="60"/>
      </w:pPr>
      <w:r>
        <w:t>Partner advisory board engagement</w:t>
      </w:r>
    </w:p>
    <w:p w14:paraId="5C45EAC2" w14:textId="77777777" w:rsidR="00BB7D4B" w:rsidRDefault="00DD48B2">
      <w:pPr>
        <w:spacing w:before="80" w:after="160"/>
      </w:pPr>
      <w:r>
        <w:t>Before selecting a PRM, teams should confirm whether it can integrate cleanly with these custom objects, whether the PRM will require duplicating this data in a separate system, and whether custom object integrations will break during platform upgrades. Some PRMs work well with custom CRM architecture; others require rigid object structures that are difficult to extend.</w:t>
      </w:r>
    </w:p>
    <w:p w14:paraId="014BF690" w14:textId="77777777" w:rsidR="00BB7D4B" w:rsidRDefault="00DD48B2">
      <w:pPr>
        <w:pStyle w:val="Heading1"/>
      </w:pPr>
      <w:r>
        <w:t>5. CRM–PRM Integration Architecture</w:t>
      </w:r>
    </w:p>
    <w:p w14:paraId="5A3E9CDF" w14:textId="0E9CEE9B" w:rsidR="00BB7D4B" w:rsidRDefault="00DD48B2">
      <w:pPr>
        <w:spacing w:before="80" w:after="160"/>
      </w:pPr>
      <w:r>
        <w:t>The PRM should function as a partner-facing layer that interacts with CRM data</w:t>
      </w:r>
      <w:r>
        <w:t xml:space="preserve"> not as a separate system that runs parallel to it. Key integration workflows to design for include:</w:t>
      </w:r>
    </w:p>
    <w:p w14:paraId="2F14F772" w14:textId="77777777" w:rsidR="00BB7D4B" w:rsidRDefault="00DD48B2">
      <w:pPr>
        <w:pStyle w:val="ListParagraph"/>
        <w:numPr>
          <w:ilvl w:val="0"/>
          <w:numId w:val="2"/>
        </w:numPr>
        <w:spacing w:before="60" w:after="60"/>
      </w:pPr>
      <w:r>
        <w:t>Deal registration → CRM opportunity creation</w:t>
      </w:r>
    </w:p>
    <w:p w14:paraId="5265ACF3" w14:textId="77777777" w:rsidR="00BB7D4B" w:rsidRDefault="00DD48B2">
      <w:pPr>
        <w:pStyle w:val="ListParagraph"/>
        <w:numPr>
          <w:ilvl w:val="0"/>
          <w:numId w:val="2"/>
        </w:numPr>
        <w:spacing w:before="60" w:after="60"/>
      </w:pPr>
      <w:r>
        <w:t>Lead sharing → CRM lead routing and assignment</w:t>
      </w:r>
    </w:p>
    <w:p w14:paraId="21A8CCA2" w14:textId="77777777" w:rsidR="00BB7D4B" w:rsidRDefault="00DD48B2">
      <w:pPr>
        <w:pStyle w:val="ListParagraph"/>
        <w:numPr>
          <w:ilvl w:val="0"/>
          <w:numId w:val="2"/>
        </w:numPr>
        <w:spacing w:before="60" w:after="60"/>
      </w:pPr>
      <w:r>
        <w:t>Opportunity updates → partner portal visibility</w:t>
      </w:r>
    </w:p>
    <w:p w14:paraId="63BF1AF9" w14:textId="77777777" w:rsidR="00BB7D4B" w:rsidRDefault="00DD48B2">
      <w:pPr>
        <w:pStyle w:val="ListParagraph"/>
        <w:numPr>
          <w:ilvl w:val="0"/>
          <w:numId w:val="2"/>
        </w:numPr>
        <w:spacing w:before="60" w:after="60"/>
      </w:pPr>
      <w:r>
        <w:t>Partner attribution → revenue and performance reporting</w:t>
      </w:r>
    </w:p>
    <w:p w14:paraId="3C12BE0C" w14:textId="77777777" w:rsidR="00BB7D4B" w:rsidRDefault="00DD48B2">
      <w:pPr>
        <w:spacing w:before="80" w:after="160"/>
      </w:pPr>
      <w:r>
        <w:t>The deeper and more automated the integration between PRM and CRM, the more seamless partner operations become. Salesforce-native PRMs typically offer the tightest integration because they operate directly within the CRM ecosystem rather than connecting via APIs.</w:t>
      </w:r>
    </w:p>
    <w:p w14:paraId="3611B7D0" w14:textId="77777777" w:rsidR="00BB7D4B" w:rsidRDefault="00DD48B2">
      <w:pPr>
        <w:pStyle w:val="Heading1"/>
      </w:pPr>
      <w:r>
        <w:t>6. Additional Systems Often Required</w:t>
      </w:r>
    </w:p>
    <w:p w14:paraId="60C57E27" w14:textId="77777777" w:rsidR="00BB7D4B" w:rsidRDefault="00DD48B2">
      <w:pPr>
        <w:spacing w:before="80" w:after="160"/>
      </w:pPr>
      <w:r>
        <w:t xml:space="preserve">PRMs rarely cover the entire </w:t>
      </w:r>
      <w:proofErr w:type="gramStart"/>
      <w:r>
        <w:t>partner</w:t>
      </w:r>
      <w:proofErr w:type="gramEnd"/>
      <w:r>
        <w:t xml:space="preserve"> lifecycle. Most mature partner ecosystems require several supporting systems working in concert.</w:t>
      </w:r>
    </w:p>
    <w:p w14:paraId="138584F9" w14:textId="77777777" w:rsidR="00BB7D4B" w:rsidRDefault="00DD48B2">
      <w:pPr>
        <w:pStyle w:val="Heading2"/>
      </w:pPr>
      <w:r>
        <w:lastRenderedPageBreak/>
        <w:t>Learning Management Systems</w:t>
      </w:r>
    </w:p>
    <w:p w14:paraId="044B0007" w14:textId="77777777" w:rsidR="00BB7D4B" w:rsidRDefault="00DD48B2">
      <w:pPr>
        <w:spacing w:before="80" w:after="160"/>
      </w:pPr>
      <w:proofErr w:type="gramStart"/>
      <w:r>
        <w:t>Used for</w:t>
      </w:r>
      <w:proofErr w:type="gramEnd"/>
      <w:r>
        <w:t xml:space="preserve"> partner enablement, training delivery, and certification tracking. Common tools include </w:t>
      </w:r>
      <w:proofErr w:type="spellStart"/>
      <w:r>
        <w:t>WorkRamp</w:t>
      </w:r>
      <w:proofErr w:type="spellEnd"/>
      <w:r>
        <w:t xml:space="preserve">, </w:t>
      </w:r>
      <w:proofErr w:type="spellStart"/>
      <w:r>
        <w:t>Skilljar</w:t>
      </w:r>
      <w:proofErr w:type="spellEnd"/>
      <w:r>
        <w:t xml:space="preserve">, </w:t>
      </w:r>
      <w:proofErr w:type="spellStart"/>
      <w:r>
        <w:t>Docebo</w:t>
      </w:r>
      <w:proofErr w:type="spellEnd"/>
      <w:r>
        <w:t xml:space="preserve">, and </w:t>
      </w:r>
      <w:proofErr w:type="spellStart"/>
      <w:r>
        <w:t>Mindtickle</w:t>
      </w:r>
      <w:proofErr w:type="spellEnd"/>
      <w:r>
        <w:t>.</w:t>
      </w:r>
    </w:p>
    <w:p w14:paraId="4C4CCF87" w14:textId="77777777" w:rsidR="00BB7D4B" w:rsidRDefault="00DD48B2">
      <w:pPr>
        <w:pStyle w:val="Heading2"/>
      </w:pPr>
      <w:r>
        <w:t>MDF and BDF Management</w:t>
      </w:r>
    </w:p>
    <w:p w14:paraId="39C256B8" w14:textId="77777777" w:rsidR="00BB7D4B" w:rsidRDefault="00DD48B2">
      <w:pPr>
        <w:spacing w:before="80" w:after="160"/>
      </w:pPr>
      <w:r>
        <w:t xml:space="preserve">Tools used to manage partner marketing development funds. Typical capabilities include fund requests, campaign approval workflows, and ROI reporting. Tools in this space include </w:t>
      </w:r>
      <w:proofErr w:type="spellStart"/>
      <w:r>
        <w:t>ZiftOne</w:t>
      </w:r>
      <w:proofErr w:type="spellEnd"/>
      <w:r>
        <w:t xml:space="preserve">, </w:t>
      </w:r>
      <w:proofErr w:type="spellStart"/>
      <w:r>
        <w:t>Channeltivity</w:t>
      </w:r>
      <w:proofErr w:type="spellEnd"/>
      <w:r>
        <w:t xml:space="preserve">, ZINFI, and </w:t>
      </w:r>
      <w:proofErr w:type="spellStart"/>
      <w:r>
        <w:t>StructuredWeb</w:t>
      </w:r>
      <w:proofErr w:type="spellEnd"/>
      <w:r>
        <w:t>.</w:t>
      </w:r>
    </w:p>
    <w:p w14:paraId="6F85A12A" w14:textId="77777777" w:rsidR="00BB7D4B" w:rsidRDefault="00DD48B2">
      <w:pPr>
        <w:pStyle w:val="Heading2"/>
      </w:pPr>
      <w:r>
        <w:t>Partner Marketing Automation</w:t>
      </w:r>
    </w:p>
    <w:p w14:paraId="7484BDAB" w14:textId="77777777" w:rsidR="00BB7D4B" w:rsidRDefault="00DD48B2">
      <w:pPr>
        <w:spacing w:before="80" w:after="160"/>
      </w:pPr>
      <w:r>
        <w:t xml:space="preserve">Used to run co-branded campaigns and through-partner marketing programs. Common platforms include </w:t>
      </w:r>
      <w:proofErr w:type="spellStart"/>
      <w:r>
        <w:t>MindMatrix</w:t>
      </w:r>
      <w:proofErr w:type="spellEnd"/>
      <w:r>
        <w:t xml:space="preserve">, </w:t>
      </w:r>
      <w:proofErr w:type="spellStart"/>
      <w:r>
        <w:t>ZiftOne</w:t>
      </w:r>
      <w:proofErr w:type="spellEnd"/>
      <w:r>
        <w:t xml:space="preserve">, Ansira, and </w:t>
      </w:r>
      <w:proofErr w:type="spellStart"/>
      <w:r>
        <w:t>Channext</w:t>
      </w:r>
      <w:proofErr w:type="spellEnd"/>
      <w:r>
        <w:t>.</w:t>
      </w:r>
    </w:p>
    <w:p w14:paraId="236D3B3D" w14:textId="77777777" w:rsidR="00BB7D4B" w:rsidRDefault="00DD48B2">
      <w:pPr>
        <w:pStyle w:val="Heading2"/>
      </w:pPr>
      <w:r>
        <w:t>Ecosystem Account Mapping</w:t>
      </w:r>
    </w:p>
    <w:p w14:paraId="30865F37" w14:textId="77777777" w:rsidR="00BB7D4B" w:rsidRDefault="00DD48B2">
      <w:pPr>
        <w:spacing w:before="80" w:after="160"/>
      </w:pPr>
      <w:r>
        <w:t xml:space="preserve">Increasingly important for co-sell ecosystems. These tools allow organizations to identify shared customers and co-sell opportunities across partner relationships. Leading platforms include Crossbeam, Reveal, and </w:t>
      </w:r>
      <w:proofErr w:type="spellStart"/>
      <w:r>
        <w:t>PartnerTap</w:t>
      </w:r>
      <w:proofErr w:type="spellEnd"/>
      <w:r>
        <w:t>.</w:t>
      </w:r>
    </w:p>
    <w:p w14:paraId="2DFF8278" w14:textId="77777777" w:rsidR="00BB7D4B" w:rsidRDefault="00DD48B2">
      <w:pPr>
        <w:pStyle w:val="Heading2"/>
      </w:pPr>
      <w:r>
        <w:t>Partner Support Case Management</w:t>
      </w:r>
    </w:p>
    <w:p w14:paraId="3E3D05FE" w14:textId="32B4CECE" w:rsidR="00BB7D4B" w:rsidRDefault="00DD48B2">
      <w:pPr>
        <w:spacing w:before="80" w:after="160"/>
      </w:pPr>
      <w:r>
        <w:t>An often-overlooked capability when evaluating PRMs is support case handling. Partners frequently need to log, track, and escalate issues on behalf of their customers</w:t>
      </w:r>
      <w:r>
        <w:t xml:space="preserve"> and how well a PRM supports this directly affects the </w:t>
      </w:r>
      <w:proofErr w:type="gramStart"/>
      <w:r>
        <w:t>partner</w:t>
      </w:r>
      <w:proofErr w:type="gramEnd"/>
      <w:r>
        <w:t xml:space="preserve"> experience.</w:t>
      </w:r>
    </w:p>
    <w:p w14:paraId="461BB74B" w14:textId="77777777" w:rsidR="00BB7D4B" w:rsidRDefault="00DD48B2">
      <w:pPr>
        <w:spacing w:before="80" w:after="160"/>
      </w:pPr>
      <w:r>
        <w:t>Key support capabilities to evaluate include partner-submitted case creation on behalf of end customers, case visibility and status tracking within the partner portal, escalation paths and SLA transparency, case routing to the vendor’s support team with partner attribution maintained, and integration with the vendor’s CRM or service desk.</w:t>
      </w:r>
    </w:p>
    <w:p w14:paraId="30537FCE" w14:textId="50775F80" w:rsidR="00BB7D4B" w:rsidRDefault="00DD48B2">
      <w:pPr>
        <w:spacing w:before="80" w:after="160"/>
      </w:pPr>
      <w:r>
        <w:t>An important and often overlooked configuration: when customers submit support cases directly through the vendor’s website, those cases should automatically route to the partner associated with the customer’s most recent sale</w:t>
      </w:r>
      <w:r w:rsidR="00475051">
        <w:t>,</w:t>
      </w:r>
      <w:r>
        <w:t xml:space="preserve"> not land in a generic vendor queue. This requires the CRM to maintain a clean record of which partner owns each customer relationship, and for the support system to reference that record at case creation. Without this logic in place, partner-delivered programs erode quickly as customers get used to bypassing the partner entirely and going direct.</w:t>
      </w:r>
    </w:p>
    <w:p w14:paraId="0E5AC739" w14:textId="77777777" w:rsidR="00BB7D4B" w:rsidRDefault="00DD48B2">
      <w:pPr>
        <w:spacing w:before="80" w:after="160"/>
      </w:pPr>
      <w:r>
        <w:t xml:space="preserve">Platforms differ significantly here. Some PRMs offer native case management; others rely entirely on CRM integration or direct support portal handoffs. For programs where partners </w:t>
      </w:r>
      <w:proofErr w:type="gramStart"/>
      <w:r>
        <w:t>are delivering</w:t>
      </w:r>
      <w:proofErr w:type="gramEnd"/>
      <w:r>
        <w:t xml:space="preserve"> implementation or managed services, this capability is non-negotiable.</w:t>
      </w:r>
    </w:p>
    <w:p w14:paraId="4B9990D3" w14:textId="77777777" w:rsidR="00BB7D4B" w:rsidRDefault="00DD48B2">
      <w:pPr>
        <w:pStyle w:val="Heading1"/>
      </w:pPr>
      <w:r>
        <w:t>7. Partner Experience and Portal Usability</w:t>
      </w:r>
    </w:p>
    <w:p w14:paraId="5D55D48E" w14:textId="77777777" w:rsidR="00BB7D4B" w:rsidRDefault="00DD48B2">
      <w:pPr>
        <w:spacing w:before="80" w:after="160"/>
      </w:pPr>
      <w:r>
        <w:t>Even the most powerful PRM fails if partners choose not to use it. Partner experience is an underrated variable in program effectiveness.</w:t>
      </w:r>
    </w:p>
    <w:p w14:paraId="40C826A0" w14:textId="77777777" w:rsidR="00BB7D4B" w:rsidRDefault="00DD48B2">
      <w:pPr>
        <w:spacing w:before="80" w:after="160"/>
      </w:pPr>
      <w:r>
        <w:t>Key usability considerations include ease of navigation and content discoverability, single sign-on capability, mobile usability, speed and simplicity of deal registration, and access to pricing, sales tools, and co-branded assets.</w:t>
      </w:r>
    </w:p>
    <w:p w14:paraId="597E9633" w14:textId="77777777" w:rsidR="00BB7D4B" w:rsidRDefault="00DD48B2">
      <w:pPr>
        <w:spacing w:before="80" w:after="160"/>
      </w:pPr>
      <w:r>
        <w:lastRenderedPageBreak/>
        <w:t>In many programs, partners interact with the portal only when they need to register a deal, access pricing, or download sales materials. Those specific experiences must be frictionless. Friction in deal registration is one of the leading causes of partners bypassing the program entirely.</w:t>
      </w:r>
    </w:p>
    <w:p w14:paraId="685506B4" w14:textId="77777777" w:rsidR="00BB7D4B" w:rsidRDefault="00DD48B2">
      <w:pPr>
        <w:pStyle w:val="Heading1"/>
      </w:pPr>
      <w:r>
        <w:t>8. Branding and Portal Customization</w:t>
      </w:r>
    </w:p>
    <w:p w14:paraId="20EF21FA" w14:textId="76E73D1F" w:rsidR="00BB7D4B" w:rsidRDefault="00DD48B2">
      <w:pPr>
        <w:spacing w:before="80" w:after="160"/>
      </w:pPr>
      <w:r>
        <w:t>A partner portal should feel like an extension of the company’s brand</w:t>
      </w:r>
      <w:r w:rsidR="00475051">
        <w:t>,</w:t>
      </w:r>
      <w:r>
        <w:t xml:space="preserve"> not a generic third-party platform. Important customization considerations include CSS and layout customization capability, partner-specific landing pages and content libraries, brand alignment with the corporate site and sales materials, and localization support for global partner programs.</w:t>
      </w:r>
    </w:p>
    <w:p w14:paraId="10F72D98" w14:textId="77777777" w:rsidR="00BB7D4B" w:rsidRDefault="00DD48B2">
      <w:pPr>
        <w:spacing w:before="80" w:after="160"/>
      </w:pPr>
      <w:r>
        <w:t>Platforms built on Salesforce Experience Cloud typically allow the most flexibility in this area.</w:t>
      </w:r>
    </w:p>
    <w:p w14:paraId="759CD56A" w14:textId="77777777" w:rsidR="00BB7D4B" w:rsidRDefault="00DD48B2">
      <w:pPr>
        <w:pStyle w:val="Heading1"/>
      </w:pPr>
      <w:r>
        <w:t>9. Traditional PRM vs. Ecosystem Platform</w:t>
      </w:r>
    </w:p>
    <w:p w14:paraId="1CB4425D" w14:textId="77777777" w:rsidR="00BB7D4B" w:rsidRDefault="00DD48B2">
      <w:pPr>
        <w:spacing w:before="80" w:after="160"/>
      </w:pPr>
      <w:r>
        <w:t>Not every partner program needs a traditional PRM. The right category of platform depends on the partner motions you’re supporting.</w:t>
      </w:r>
    </w:p>
    <w:p w14:paraId="4A62B131" w14:textId="77777777" w:rsidR="00BB7D4B" w:rsidRDefault="00DD48B2">
      <w:pPr>
        <w:pStyle w:val="Heading2"/>
      </w:pPr>
      <w:r>
        <w:t>Traditional PRMs Work Best For</w:t>
      </w:r>
    </w:p>
    <w:p w14:paraId="4734829C" w14:textId="77777777" w:rsidR="00BB7D4B" w:rsidRDefault="00DD48B2">
      <w:pPr>
        <w:pStyle w:val="ListParagraph"/>
        <w:numPr>
          <w:ilvl w:val="0"/>
          <w:numId w:val="2"/>
        </w:numPr>
        <w:spacing w:before="60" w:after="60"/>
      </w:pPr>
      <w:r>
        <w:t>Reseller channels with formal deal registration</w:t>
      </w:r>
    </w:p>
    <w:p w14:paraId="44838465" w14:textId="77777777" w:rsidR="00BB7D4B" w:rsidRDefault="00DD48B2">
      <w:pPr>
        <w:pStyle w:val="ListParagraph"/>
        <w:numPr>
          <w:ilvl w:val="0"/>
          <w:numId w:val="2"/>
        </w:numPr>
        <w:spacing w:before="60" w:after="60"/>
      </w:pPr>
      <w:r>
        <w:t xml:space="preserve">Large partner </w:t>
      </w:r>
      <w:proofErr w:type="gramStart"/>
      <w:r>
        <w:t>salesforces</w:t>
      </w:r>
      <w:proofErr w:type="gramEnd"/>
      <w:r>
        <w:t xml:space="preserve"> requiring pipeline tracking</w:t>
      </w:r>
    </w:p>
    <w:p w14:paraId="047AFBD9" w14:textId="77777777" w:rsidR="00BB7D4B" w:rsidRDefault="00DD48B2">
      <w:pPr>
        <w:pStyle w:val="ListParagraph"/>
        <w:numPr>
          <w:ilvl w:val="0"/>
          <w:numId w:val="2"/>
        </w:numPr>
        <w:spacing w:before="60" w:after="60"/>
      </w:pPr>
      <w:r>
        <w:t>Tiered partner programs with structured benefits</w:t>
      </w:r>
    </w:p>
    <w:p w14:paraId="7D1C6F8C" w14:textId="77777777" w:rsidR="00BB7D4B" w:rsidRDefault="00DD48B2">
      <w:pPr>
        <w:pStyle w:val="ListParagraph"/>
        <w:numPr>
          <w:ilvl w:val="0"/>
          <w:numId w:val="2"/>
        </w:numPr>
        <w:spacing w:before="60" w:after="60"/>
      </w:pPr>
      <w:r>
        <w:t>Programs needing integrated MDF management</w:t>
      </w:r>
    </w:p>
    <w:p w14:paraId="46F04525" w14:textId="77777777" w:rsidR="00BB7D4B" w:rsidRDefault="00DD48B2">
      <w:pPr>
        <w:pStyle w:val="Heading2"/>
      </w:pPr>
      <w:r>
        <w:t>Ecosystem Platforms Work Better For</w:t>
      </w:r>
    </w:p>
    <w:p w14:paraId="0A997CE1" w14:textId="77777777" w:rsidR="00BB7D4B" w:rsidRDefault="00DD48B2">
      <w:pPr>
        <w:pStyle w:val="ListParagraph"/>
        <w:numPr>
          <w:ilvl w:val="0"/>
          <w:numId w:val="2"/>
        </w:numPr>
        <w:spacing w:before="60" w:after="60"/>
      </w:pPr>
      <w:r>
        <w:t>Technology alliances and ISV ecosystems</w:t>
      </w:r>
    </w:p>
    <w:p w14:paraId="3D586E73" w14:textId="77777777" w:rsidR="00BB7D4B" w:rsidRDefault="00DD48B2">
      <w:pPr>
        <w:pStyle w:val="ListParagraph"/>
        <w:numPr>
          <w:ilvl w:val="0"/>
          <w:numId w:val="2"/>
        </w:numPr>
        <w:spacing w:before="60" w:after="60"/>
      </w:pPr>
      <w:r>
        <w:t>Co-</w:t>
      </w:r>
      <w:proofErr w:type="gramStart"/>
      <w:r>
        <w:t>sell</w:t>
      </w:r>
      <w:proofErr w:type="gramEnd"/>
      <w:r>
        <w:t xml:space="preserve"> partnerships requiring account mapping</w:t>
      </w:r>
    </w:p>
    <w:p w14:paraId="0491F9CA" w14:textId="77777777" w:rsidR="00BB7D4B" w:rsidRDefault="00DD48B2">
      <w:pPr>
        <w:pStyle w:val="ListParagraph"/>
        <w:numPr>
          <w:ilvl w:val="0"/>
          <w:numId w:val="2"/>
        </w:numPr>
        <w:spacing w:before="60" w:after="60"/>
      </w:pPr>
      <w:proofErr w:type="gramStart"/>
      <w:r>
        <w:t>Integration</w:t>
      </w:r>
      <w:proofErr w:type="gramEnd"/>
      <w:r>
        <w:t xml:space="preserve"> marketplace programs</w:t>
      </w:r>
    </w:p>
    <w:p w14:paraId="6F285CD9" w14:textId="77777777" w:rsidR="00BB7D4B" w:rsidRDefault="00DD48B2">
      <w:pPr>
        <w:pStyle w:val="ListParagraph"/>
        <w:numPr>
          <w:ilvl w:val="0"/>
          <w:numId w:val="2"/>
        </w:numPr>
        <w:spacing w:before="60" w:after="60"/>
      </w:pPr>
      <w:r>
        <w:t>Organizations focused on ecosystem-led growth</w:t>
      </w:r>
    </w:p>
    <w:p w14:paraId="70625580" w14:textId="348F4369" w:rsidR="00BB7D4B" w:rsidRDefault="00DD48B2">
      <w:pPr>
        <w:spacing w:before="80" w:after="160"/>
      </w:pPr>
      <w:r>
        <w:t>Many modern partner organizations use a hybrid stack</w:t>
      </w:r>
      <w:r w:rsidR="00475051">
        <w:t>,</w:t>
      </w:r>
      <w:r>
        <w:t xml:space="preserve"> combining CRM workflows, ecosystem mapping tools, and a lightweight PRM</w:t>
      </w:r>
      <w:r w:rsidR="00475051">
        <w:t>,</w:t>
      </w:r>
      <w:r>
        <w:t xml:space="preserve"> rather than relying on a single platform to do everything.</w:t>
      </w:r>
    </w:p>
    <w:p w14:paraId="077702D2" w14:textId="77777777" w:rsidR="00BB7D4B" w:rsidRDefault="00DD48B2">
      <w:r>
        <w:br w:type="page"/>
      </w:r>
    </w:p>
    <w:p w14:paraId="7BB3D461" w14:textId="77777777" w:rsidR="00BB7D4B" w:rsidRDefault="00DD48B2">
      <w:pPr>
        <w:pStyle w:val="Heading1"/>
      </w:pPr>
      <w:r>
        <w:lastRenderedPageBreak/>
        <w:t>10. PRM and Ecosystem Platform Comparison</w:t>
      </w:r>
    </w:p>
    <w:p w14:paraId="3CE77FE1" w14:textId="77777777" w:rsidR="00BB7D4B" w:rsidRDefault="00DD48B2">
      <w:pPr>
        <w:spacing w:before="80" w:after="160"/>
      </w:pPr>
      <w:r>
        <w:t>The table below provides a simplified reference view of common partner platforms across categories. This is intended as a starting point for evaluation, not a comprehensive analysis. The partner technology landscape evolves quickly; validate current capabilities and pricing directly with vendors before making platform decisions.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0"/>
        <w:gridCol w:w="1952"/>
        <w:gridCol w:w="2882"/>
        <w:gridCol w:w="2786"/>
      </w:tblGrid>
      <w:tr w:rsidR="00BB7D4B" w14:paraId="54315223" w14:textId="77777777" w:rsidTr="00475051">
        <w:tblPrEx>
          <w:tblCellMar>
            <w:top w:w="0" w:type="dxa"/>
            <w:bottom w:w="0" w:type="dxa"/>
          </w:tblCellMar>
        </w:tblPrEx>
        <w:trPr>
          <w:tblHeader/>
        </w:trPr>
        <w:tc>
          <w:tcPr>
            <w:tcW w:w="1740"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5F9AE920" w14:textId="77777777" w:rsidR="00BB7D4B" w:rsidRDefault="00DD48B2">
            <w:r>
              <w:rPr>
                <w:b/>
                <w:bCs/>
                <w:color w:val="FFFFFF"/>
                <w:sz w:val="20"/>
                <w:szCs w:val="20"/>
              </w:rPr>
              <w:t>Platform</w:t>
            </w:r>
          </w:p>
        </w:tc>
        <w:tc>
          <w:tcPr>
            <w:tcW w:w="1952"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54EE65E3" w14:textId="77777777" w:rsidR="00BB7D4B" w:rsidRDefault="00DD48B2">
            <w:r>
              <w:rPr>
                <w:b/>
                <w:bCs/>
                <w:color w:val="FFFFFF"/>
                <w:sz w:val="20"/>
                <w:szCs w:val="20"/>
              </w:rPr>
              <w:t>Category</w:t>
            </w:r>
          </w:p>
        </w:tc>
        <w:tc>
          <w:tcPr>
            <w:tcW w:w="2882"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58C79991" w14:textId="77777777" w:rsidR="00BB7D4B" w:rsidRDefault="00DD48B2">
            <w:r>
              <w:rPr>
                <w:b/>
                <w:bCs/>
                <w:color w:val="FFFFFF"/>
                <w:sz w:val="20"/>
                <w:szCs w:val="20"/>
              </w:rPr>
              <w:t>Strengths</w:t>
            </w:r>
          </w:p>
        </w:tc>
        <w:tc>
          <w:tcPr>
            <w:tcW w:w="2786" w:type="dxa"/>
            <w:tcBorders>
              <w:top w:val="single" w:sz="1" w:space="0" w:color="2E5242"/>
              <w:left w:val="single" w:sz="1" w:space="0" w:color="2E5242"/>
              <w:bottom w:val="single" w:sz="1" w:space="0" w:color="2E5242"/>
              <w:right w:val="single" w:sz="1" w:space="0" w:color="2E5242"/>
            </w:tcBorders>
            <w:shd w:val="clear" w:color="auto" w:fill="1B3A2E"/>
            <w:tcMar>
              <w:top w:w="100" w:type="dxa"/>
              <w:left w:w="120" w:type="dxa"/>
              <w:bottom w:w="100" w:type="dxa"/>
              <w:right w:w="120" w:type="dxa"/>
            </w:tcMar>
          </w:tcPr>
          <w:p w14:paraId="7C5B4349" w14:textId="77777777" w:rsidR="00BB7D4B" w:rsidRDefault="00DD48B2">
            <w:r>
              <w:rPr>
                <w:b/>
                <w:bCs/>
                <w:color w:val="FFFFFF"/>
                <w:sz w:val="20"/>
                <w:szCs w:val="20"/>
              </w:rPr>
              <w:t>Limitations</w:t>
            </w:r>
          </w:p>
        </w:tc>
      </w:tr>
      <w:tr w:rsidR="00BB7D4B" w14:paraId="189FB262"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0328E40E" w14:textId="77777777" w:rsidR="00BB7D4B" w:rsidRDefault="00DD48B2">
            <w:proofErr w:type="spellStart"/>
            <w:r>
              <w:rPr>
                <w:b/>
                <w:bCs/>
                <w:sz w:val="20"/>
                <w:szCs w:val="20"/>
              </w:rPr>
              <w:t>Magentrix</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2C1B0AC" w14:textId="77777777" w:rsidR="00BB7D4B" w:rsidRDefault="00DD48B2">
            <w:r>
              <w:rPr>
                <w:color w:val="555555"/>
                <w:sz w:val="20"/>
                <w:szCs w:val="20"/>
              </w:rPr>
              <w:t>Salesforce-native PRM</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6BA38A2E" w14:textId="77777777" w:rsidR="00BB7D4B" w:rsidRDefault="00DD48B2">
            <w:r>
              <w:rPr>
                <w:color w:val="555555"/>
                <w:sz w:val="20"/>
                <w:szCs w:val="20"/>
              </w:rPr>
              <w:t>Deep Salesforce integration, strong customization</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7BF8F36E" w14:textId="77777777" w:rsidR="00BB7D4B" w:rsidRDefault="00DD48B2">
            <w:r>
              <w:rPr>
                <w:color w:val="555555"/>
                <w:sz w:val="20"/>
                <w:szCs w:val="20"/>
              </w:rPr>
              <w:t>Requires Salesforce expertise; UX can feel dated</w:t>
            </w:r>
          </w:p>
        </w:tc>
      </w:tr>
      <w:tr w:rsidR="00BB7D4B" w14:paraId="7A48C736"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18B10F9" w14:textId="77777777" w:rsidR="00BB7D4B" w:rsidRDefault="00DD48B2">
            <w:proofErr w:type="spellStart"/>
            <w:r>
              <w:rPr>
                <w:b/>
                <w:bCs/>
                <w:sz w:val="20"/>
                <w:szCs w:val="20"/>
              </w:rPr>
              <w:t>Impartner</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0F170337" w14:textId="77777777" w:rsidR="00BB7D4B" w:rsidRDefault="00DD48B2">
            <w:r>
              <w:rPr>
                <w:color w:val="555555"/>
                <w:sz w:val="20"/>
                <w:szCs w:val="20"/>
              </w:rPr>
              <w:t>Enterprise PRM</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00E317E5" w14:textId="77777777" w:rsidR="00BB7D4B" w:rsidRDefault="00DD48B2">
            <w:r>
              <w:rPr>
                <w:color w:val="555555"/>
                <w:sz w:val="20"/>
                <w:szCs w:val="20"/>
              </w:rPr>
              <w:t>Strong deal registration and partner management</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23186789" w14:textId="77777777" w:rsidR="00BB7D4B" w:rsidRDefault="00DD48B2">
            <w:r>
              <w:rPr>
                <w:color w:val="555555"/>
                <w:sz w:val="20"/>
                <w:szCs w:val="20"/>
              </w:rPr>
              <w:t>Implementation complexity; higher price point</w:t>
            </w:r>
          </w:p>
        </w:tc>
      </w:tr>
      <w:tr w:rsidR="00BB7D4B" w14:paraId="15606B68"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50F6328" w14:textId="77777777" w:rsidR="00BB7D4B" w:rsidRDefault="00DD48B2">
            <w:proofErr w:type="spellStart"/>
            <w:r>
              <w:rPr>
                <w:b/>
                <w:bCs/>
                <w:sz w:val="20"/>
                <w:szCs w:val="20"/>
              </w:rPr>
              <w:t>Allbound</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A5BD36B" w14:textId="77777777" w:rsidR="00BB7D4B" w:rsidRDefault="00DD48B2">
            <w:r>
              <w:rPr>
                <w:color w:val="555555"/>
                <w:sz w:val="20"/>
                <w:szCs w:val="20"/>
              </w:rPr>
              <w:t>Mid-market PRM</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FCA7A33" w14:textId="77777777" w:rsidR="00BB7D4B" w:rsidRDefault="00DD48B2">
            <w:r>
              <w:rPr>
                <w:color w:val="555555"/>
                <w:sz w:val="20"/>
                <w:szCs w:val="20"/>
              </w:rPr>
              <w:t>Good partner experience, strong onboarding flows</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5BED78F" w14:textId="77777777" w:rsidR="00BB7D4B" w:rsidRDefault="00DD48B2">
            <w:r>
              <w:rPr>
                <w:color w:val="555555"/>
                <w:sz w:val="20"/>
                <w:szCs w:val="20"/>
              </w:rPr>
              <w:t>Limited advanced ecosystem features</w:t>
            </w:r>
          </w:p>
        </w:tc>
      </w:tr>
      <w:tr w:rsidR="00BB7D4B" w14:paraId="6562B032"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2F05422F" w14:textId="77777777" w:rsidR="00BB7D4B" w:rsidRDefault="00DD48B2">
            <w:r>
              <w:rPr>
                <w:b/>
                <w:bCs/>
                <w:sz w:val="20"/>
                <w:szCs w:val="20"/>
              </w:rPr>
              <w:t>ZINFI</w:t>
            </w:r>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77C8D0E6" w14:textId="77777777" w:rsidR="00BB7D4B" w:rsidRDefault="00DD48B2">
            <w:r>
              <w:rPr>
                <w:color w:val="555555"/>
                <w:sz w:val="20"/>
                <w:szCs w:val="20"/>
              </w:rPr>
              <w:t>PRM + marketing automation</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6E0300DC" w14:textId="77777777" w:rsidR="00BB7D4B" w:rsidRDefault="00DD48B2">
            <w:r>
              <w:rPr>
                <w:color w:val="555555"/>
                <w:sz w:val="20"/>
                <w:szCs w:val="20"/>
              </w:rPr>
              <w:t>Integrated partner marketing tools</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0444FB20" w14:textId="77777777" w:rsidR="00BB7D4B" w:rsidRDefault="00DD48B2">
            <w:r>
              <w:rPr>
                <w:color w:val="555555"/>
                <w:sz w:val="20"/>
                <w:szCs w:val="20"/>
              </w:rPr>
              <w:t>Interface complexity; steep learning curve</w:t>
            </w:r>
          </w:p>
        </w:tc>
      </w:tr>
      <w:tr w:rsidR="00BB7D4B" w14:paraId="0C6D8C89"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160E6980" w14:textId="77777777" w:rsidR="00BB7D4B" w:rsidRDefault="00DD48B2">
            <w:proofErr w:type="spellStart"/>
            <w:r>
              <w:rPr>
                <w:b/>
                <w:bCs/>
                <w:sz w:val="20"/>
                <w:szCs w:val="20"/>
              </w:rPr>
              <w:t>Channeltivity</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1F2063A" w14:textId="77777777" w:rsidR="00BB7D4B" w:rsidRDefault="00DD48B2">
            <w:r>
              <w:rPr>
                <w:color w:val="555555"/>
                <w:sz w:val="20"/>
                <w:szCs w:val="20"/>
              </w:rPr>
              <w:t>Traditional PRM</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7CE5B7C8" w14:textId="77777777" w:rsidR="00BB7D4B" w:rsidRDefault="00DD48B2">
            <w:r>
              <w:rPr>
                <w:color w:val="555555"/>
                <w:sz w:val="20"/>
                <w:szCs w:val="20"/>
              </w:rPr>
              <w:t>Strong deal registration and pipeline tracking</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13C87642" w14:textId="77777777" w:rsidR="00BB7D4B" w:rsidRDefault="00DD48B2">
            <w:r>
              <w:rPr>
                <w:color w:val="555555"/>
                <w:sz w:val="20"/>
                <w:szCs w:val="20"/>
              </w:rPr>
              <w:t>Limited ecosystem collaboration features</w:t>
            </w:r>
          </w:p>
        </w:tc>
      </w:tr>
      <w:tr w:rsidR="00BB7D4B" w14:paraId="24D36095"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61B50CFA" w14:textId="77777777" w:rsidR="00BB7D4B" w:rsidRDefault="00DD48B2">
            <w:proofErr w:type="spellStart"/>
            <w:r>
              <w:rPr>
                <w:b/>
                <w:bCs/>
                <w:sz w:val="20"/>
                <w:szCs w:val="20"/>
              </w:rPr>
              <w:t>PartnerStack</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79BFCF46" w14:textId="77777777" w:rsidR="00BB7D4B" w:rsidRDefault="00DD48B2">
            <w:r>
              <w:rPr>
                <w:color w:val="555555"/>
                <w:sz w:val="20"/>
                <w:szCs w:val="20"/>
              </w:rPr>
              <w:t>Affiliate / referral</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E7FA551" w14:textId="77777777" w:rsidR="00BB7D4B" w:rsidRDefault="00DD48B2">
            <w:r>
              <w:rPr>
                <w:color w:val="555555"/>
                <w:sz w:val="20"/>
                <w:szCs w:val="20"/>
              </w:rPr>
              <w:t>Excellent referral tracking and payout management</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11F5FC0E" w14:textId="77777777" w:rsidR="00BB7D4B" w:rsidRDefault="00DD48B2">
            <w:r>
              <w:rPr>
                <w:color w:val="555555"/>
                <w:sz w:val="20"/>
                <w:szCs w:val="20"/>
              </w:rPr>
              <w:t>Not designed for reseller channel programs</w:t>
            </w:r>
          </w:p>
        </w:tc>
      </w:tr>
      <w:tr w:rsidR="00BB7D4B" w14:paraId="2EACA94F"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C2CF025" w14:textId="77777777" w:rsidR="00BB7D4B" w:rsidRDefault="00DD48B2">
            <w:r>
              <w:rPr>
                <w:b/>
                <w:bCs/>
                <w:sz w:val="20"/>
                <w:szCs w:val="20"/>
              </w:rPr>
              <w:t>Impact.com</w:t>
            </w:r>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305A83D" w14:textId="77777777" w:rsidR="00BB7D4B" w:rsidRDefault="00DD48B2">
            <w:r>
              <w:rPr>
                <w:color w:val="555555"/>
                <w:sz w:val="20"/>
                <w:szCs w:val="20"/>
              </w:rPr>
              <w:t>Affiliate ecosystem</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B13FC1C" w14:textId="77777777" w:rsidR="00BB7D4B" w:rsidRDefault="00DD48B2">
            <w:r>
              <w:rPr>
                <w:color w:val="555555"/>
                <w:sz w:val="20"/>
                <w:szCs w:val="20"/>
              </w:rPr>
              <w:t>Sophisticated partnership automation</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58BB90BE" w14:textId="77777777" w:rsidR="00BB7D4B" w:rsidRDefault="00DD48B2">
            <w:r>
              <w:rPr>
                <w:color w:val="555555"/>
                <w:sz w:val="20"/>
                <w:szCs w:val="20"/>
              </w:rPr>
              <w:t>Overkill for simpler partner programs</w:t>
            </w:r>
          </w:p>
        </w:tc>
      </w:tr>
      <w:tr w:rsidR="00BB7D4B" w14:paraId="7C59818E"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30E7FED6" w14:textId="77777777" w:rsidR="00BB7D4B" w:rsidRDefault="00DD48B2">
            <w:r>
              <w:rPr>
                <w:b/>
                <w:bCs/>
                <w:sz w:val="20"/>
                <w:szCs w:val="20"/>
              </w:rPr>
              <w:t>Crossbeam</w:t>
            </w:r>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4F2827FD" w14:textId="77777777" w:rsidR="00BB7D4B" w:rsidRDefault="00DD48B2">
            <w:r>
              <w:rPr>
                <w:color w:val="555555"/>
                <w:sz w:val="20"/>
                <w:szCs w:val="20"/>
              </w:rPr>
              <w:t>Ecosystem platform</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5293035B" w14:textId="77777777" w:rsidR="00BB7D4B" w:rsidRDefault="00DD48B2">
            <w:r>
              <w:rPr>
                <w:color w:val="555555"/>
                <w:sz w:val="20"/>
                <w:szCs w:val="20"/>
              </w:rPr>
              <w:t>Best-in-class account mapping and co-sell insights</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6CF489DB" w14:textId="46D16BC0" w:rsidR="00BB7D4B" w:rsidRDefault="00DD48B2">
            <w:r>
              <w:rPr>
                <w:color w:val="555555"/>
                <w:sz w:val="20"/>
                <w:szCs w:val="20"/>
              </w:rPr>
              <w:t xml:space="preserve">Not a full </w:t>
            </w:r>
            <w:proofErr w:type="gramStart"/>
            <w:r>
              <w:rPr>
                <w:color w:val="555555"/>
                <w:sz w:val="20"/>
                <w:szCs w:val="20"/>
              </w:rPr>
              <w:t xml:space="preserve">PRM </w:t>
            </w:r>
            <w:r w:rsidR="00475051">
              <w:rPr>
                <w:color w:val="555555"/>
                <w:sz w:val="20"/>
                <w:szCs w:val="20"/>
              </w:rPr>
              <w:t>,</w:t>
            </w:r>
            <w:proofErr w:type="gramEnd"/>
            <w:r>
              <w:rPr>
                <w:color w:val="555555"/>
                <w:sz w:val="20"/>
                <w:szCs w:val="20"/>
              </w:rPr>
              <w:t xml:space="preserve"> purpose-built for account overlap</w:t>
            </w:r>
          </w:p>
        </w:tc>
      </w:tr>
      <w:tr w:rsidR="00BB7D4B" w14:paraId="3CD3D4F5"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10CC0D1D" w14:textId="77777777" w:rsidR="00BB7D4B" w:rsidRDefault="00DD48B2">
            <w:r>
              <w:rPr>
                <w:b/>
                <w:bCs/>
                <w:sz w:val="20"/>
                <w:szCs w:val="20"/>
              </w:rPr>
              <w:t>Reveal</w:t>
            </w:r>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7F1FD3FE" w14:textId="77777777" w:rsidR="00BB7D4B" w:rsidRDefault="00DD48B2">
            <w:r>
              <w:rPr>
                <w:color w:val="555555"/>
                <w:sz w:val="20"/>
                <w:szCs w:val="20"/>
              </w:rPr>
              <w:t>Ecosystem mapping</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0314BBE7" w14:textId="77777777" w:rsidR="00BB7D4B" w:rsidRDefault="00DD48B2">
            <w:r>
              <w:rPr>
                <w:color w:val="555555"/>
                <w:sz w:val="20"/>
                <w:szCs w:val="20"/>
              </w:rPr>
              <w:t>Strong data collaboration features</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D792D83" w14:textId="77777777" w:rsidR="00BB7D4B" w:rsidRDefault="00DD48B2">
            <w:r>
              <w:rPr>
                <w:color w:val="555555"/>
                <w:sz w:val="20"/>
                <w:szCs w:val="20"/>
              </w:rPr>
              <w:t>Requires a mature CRM integration strategy</w:t>
            </w:r>
          </w:p>
        </w:tc>
      </w:tr>
      <w:tr w:rsidR="00BB7D4B" w14:paraId="7BEA8177"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259D87BB" w14:textId="77777777" w:rsidR="00BB7D4B" w:rsidRDefault="00DD48B2">
            <w:proofErr w:type="spellStart"/>
            <w:r>
              <w:rPr>
                <w:b/>
                <w:bCs/>
                <w:sz w:val="20"/>
                <w:szCs w:val="20"/>
              </w:rPr>
              <w:t>Journeybee</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276CEAC6" w14:textId="77777777" w:rsidR="00BB7D4B" w:rsidRDefault="00DD48B2">
            <w:r>
              <w:rPr>
                <w:color w:val="555555"/>
                <w:sz w:val="20"/>
                <w:szCs w:val="20"/>
              </w:rPr>
              <w:t>Lightweight PRM</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18777F9B" w14:textId="77777777" w:rsidR="00BB7D4B" w:rsidRDefault="00DD48B2">
            <w:r>
              <w:rPr>
                <w:color w:val="555555"/>
                <w:sz w:val="20"/>
                <w:szCs w:val="20"/>
              </w:rPr>
              <w:t>Simple, flexible, fast to deploy</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3B671056" w14:textId="77777777" w:rsidR="00BB7D4B" w:rsidRDefault="00DD48B2">
            <w:r>
              <w:rPr>
                <w:color w:val="555555"/>
                <w:sz w:val="20"/>
                <w:szCs w:val="20"/>
              </w:rPr>
              <w:t>Limited enterprise-scale capabilities</w:t>
            </w:r>
          </w:p>
        </w:tc>
      </w:tr>
      <w:tr w:rsidR="00BB7D4B" w14:paraId="2A0A350B"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6E75A458" w14:textId="77777777" w:rsidR="00BB7D4B" w:rsidRDefault="00DD48B2">
            <w:proofErr w:type="spellStart"/>
            <w:r>
              <w:rPr>
                <w:b/>
                <w:bCs/>
                <w:sz w:val="20"/>
                <w:szCs w:val="20"/>
              </w:rPr>
              <w:t>ChannelScaler</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22EB663" w14:textId="77777777" w:rsidR="00BB7D4B" w:rsidRDefault="00DD48B2">
            <w:r>
              <w:rPr>
                <w:color w:val="555555"/>
                <w:sz w:val="20"/>
                <w:szCs w:val="20"/>
              </w:rPr>
              <w:t>Emerging PRM</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4517B587" w14:textId="77777777" w:rsidR="00BB7D4B" w:rsidRDefault="00DD48B2">
            <w:r>
              <w:rPr>
                <w:color w:val="555555"/>
                <w:sz w:val="20"/>
                <w:szCs w:val="20"/>
              </w:rPr>
              <w:t>Modern approach to partner operations</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99BD369" w14:textId="77777777" w:rsidR="00BB7D4B" w:rsidRDefault="00DD48B2">
            <w:r>
              <w:rPr>
                <w:color w:val="555555"/>
                <w:sz w:val="20"/>
                <w:szCs w:val="20"/>
              </w:rPr>
              <w:t>Smaller vendor ecosystem and support network</w:t>
            </w:r>
          </w:p>
        </w:tc>
      </w:tr>
      <w:tr w:rsidR="00BB7D4B" w14:paraId="428FC638"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64A1AEED" w14:textId="77777777" w:rsidR="00BB7D4B" w:rsidRDefault="00DD48B2">
            <w:proofErr w:type="spellStart"/>
            <w:r>
              <w:rPr>
                <w:b/>
                <w:bCs/>
                <w:sz w:val="20"/>
                <w:szCs w:val="20"/>
              </w:rPr>
              <w:t>MindMatrix</w:t>
            </w:r>
            <w:proofErr w:type="spellEnd"/>
          </w:p>
        </w:tc>
        <w:tc>
          <w:tcPr>
            <w:tcW w:w="195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29C0A253" w14:textId="77777777" w:rsidR="00BB7D4B" w:rsidRDefault="00DD48B2">
            <w:r>
              <w:rPr>
                <w:color w:val="555555"/>
                <w:sz w:val="20"/>
                <w:szCs w:val="20"/>
              </w:rPr>
              <w:t>Marketing PRM</w:t>
            </w:r>
          </w:p>
        </w:tc>
        <w:tc>
          <w:tcPr>
            <w:tcW w:w="2882"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5E201707" w14:textId="77777777" w:rsidR="00BB7D4B" w:rsidRDefault="00DD48B2">
            <w:r>
              <w:rPr>
                <w:color w:val="555555"/>
                <w:sz w:val="20"/>
                <w:szCs w:val="20"/>
              </w:rPr>
              <w:t>Strong campaign automation for partners</w:t>
            </w:r>
          </w:p>
        </w:tc>
        <w:tc>
          <w:tcPr>
            <w:tcW w:w="2786" w:type="dxa"/>
            <w:tcBorders>
              <w:top w:val="single" w:sz="1" w:space="0" w:color="D0D8D0"/>
              <w:left w:val="single" w:sz="1" w:space="0" w:color="D0D8D0"/>
              <w:bottom w:val="single" w:sz="1" w:space="0" w:color="D0D8D0"/>
              <w:right w:val="single" w:sz="1" w:space="0" w:color="D0D8D0"/>
            </w:tcBorders>
            <w:shd w:val="clear" w:color="auto" w:fill="F2F5F2"/>
            <w:tcMar>
              <w:top w:w="80" w:type="dxa"/>
              <w:left w:w="120" w:type="dxa"/>
              <w:bottom w:w="80" w:type="dxa"/>
              <w:right w:w="120" w:type="dxa"/>
            </w:tcMar>
          </w:tcPr>
          <w:p w14:paraId="10204F52" w14:textId="77777777" w:rsidR="00BB7D4B" w:rsidRDefault="00DD48B2">
            <w:r>
              <w:rPr>
                <w:color w:val="555555"/>
                <w:sz w:val="20"/>
                <w:szCs w:val="20"/>
              </w:rPr>
              <w:t>Less focused on deal management</w:t>
            </w:r>
          </w:p>
        </w:tc>
      </w:tr>
      <w:tr w:rsidR="00BB7D4B" w14:paraId="7116A78B" w14:textId="77777777" w:rsidTr="00475051">
        <w:tblPrEx>
          <w:tblCellMar>
            <w:top w:w="0" w:type="dxa"/>
            <w:bottom w:w="0" w:type="dxa"/>
          </w:tblCellMar>
        </w:tblPrEx>
        <w:tc>
          <w:tcPr>
            <w:tcW w:w="1740"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20B42C7C" w14:textId="77777777" w:rsidR="00BB7D4B" w:rsidRDefault="00DD48B2">
            <w:r>
              <w:rPr>
                <w:b/>
                <w:bCs/>
                <w:sz w:val="20"/>
                <w:szCs w:val="20"/>
              </w:rPr>
              <w:t>Ansira</w:t>
            </w:r>
          </w:p>
        </w:tc>
        <w:tc>
          <w:tcPr>
            <w:tcW w:w="195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3B1B583B" w14:textId="77777777" w:rsidR="00BB7D4B" w:rsidRDefault="00DD48B2">
            <w:r>
              <w:rPr>
                <w:color w:val="555555"/>
                <w:sz w:val="20"/>
                <w:szCs w:val="20"/>
              </w:rPr>
              <w:t>Enterprise marketing</w:t>
            </w:r>
          </w:p>
        </w:tc>
        <w:tc>
          <w:tcPr>
            <w:tcW w:w="2882"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23149857" w14:textId="77777777" w:rsidR="00BB7D4B" w:rsidRDefault="00DD48B2">
            <w:r>
              <w:rPr>
                <w:color w:val="555555"/>
                <w:sz w:val="20"/>
                <w:szCs w:val="20"/>
              </w:rPr>
              <w:t>Powerful partner marketing engine</w:t>
            </w:r>
          </w:p>
        </w:tc>
        <w:tc>
          <w:tcPr>
            <w:tcW w:w="2786" w:type="dxa"/>
            <w:tcBorders>
              <w:top w:val="single" w:sz="1" w:space="0" w:color="D0D8D0"/>
              <w:left w:val="single" w:sz="1" w:space="0" w:color="D0D8D0"/>
              <w:bottom w:val="single" w:sz="1" w:space="0" w:color="D0D8D0"/>
              <w:right w:val="single" w:sz="1" w:space="0" w:color="D0D8D0"/>
            </w:tcBorders>
            <w:shd w:val="clear" w:color="auto" w:fill="FFFFFF"/>
            <w:tcMar>
              <w:top w:w="80" w:type="dxa"/>
              <w:left w:w="120" w:type="dxa"/>
              <w:bottom w:w="80" w:type="dxa"/>
              <w:right w:w="120" w:type="dxa"/>
            </w:tcMar>
          </w:tcPr>
          <w:p w14:paraId="68251154" w14:textId="77777777" w:rsidR="00BB7D4B" w:rsidRDefault="00DD48B2">
            <w:r>
              <w:rPr>
                <w:color w:val="555555"/>
                <w:sz w:val="20"/>
                <w:szCs w:val="20"/>
              </w:rPr>
              <w:t>Heavy implementation requirements</w:t>
            </w:r>
          </w:p>
        </w:tc>
      </w:tr>
    </w:tbl>
    <w:p w14:paraId="0D266C25" w14:textId="77777777" w:rsidR="00BB7D4B" w:rsidRDefault="00DD48B2">
      <w:pPr>
        <w:pStyle w:val="Heading1"/>
      </w:pPr>
      <w:r>
        <w:t>11. Is Your Stack AI-Ready?</w:t>
      </w:r>
    </w:p>
    <w:p w14:paraId="160F899B" w14:textId="427F30C6" w:rsidR="00BB7D4B" w:rsidRDefault="00DD48B2">
      <w:pPr>
        <w:spacing w:before="80" w:after="160"/>
      </w:pPr>
      <w:r>
        <w:t>AI is beginning to reshape how partner ecosystems operate</w:t>
      </w:r>
      <w:r w:rsidR="00475051">
        <w:t xml:space="preserve">, </w:t>
      </w:r>
      <w:r>
        <w:t xml:space="preserve">from how vendors identify the right partners to how partners surface relevant opportunities for their customers. Before that value is accessible, the underlying data architecture </w:t>
      </w:r>
      <w:proofErr w:type="gramStart"/>
      <w:r>
        <w:t>has to</w:t>
      </w:r>
      <w:proofErr w:type="gramEnd"/>
      <w:r>
        <w:t xml:space="preserve"> be in place.</w:t>
      </w:r>
    </w:p>
    <w:p w14:paraId="6D1EC1B1" w14:textId="39E1DC34" w:rsidR="00BB7D4B" w:rsidRDefault="00DD48B2">
      <w:pPr>
        <w:spacing w:before="80" w:after="160"/>
      </w:pPr>
      <w:r>
        <w:t>Most AI tooling doesn’t create data. It surfaces, synthesizes, and acts on data that already exists. If your CRM and PRM aren’t structured correctly, AI capabilities</w:t>
      </w:r>
      <w:r w:rsidR="00475051">
        <w:t>,</w:t>
      </w:r>
      <w:r>
        <w:t xml:space="preserve"> whether built into your platforms or layered on top</w:t>
      </w:r>
      <w:r w:rsidR="00475051">
        <w:t>,</w:t>
      </w:r>
      <w:r>
        <w:t xml:space="preserve"> will have limited input to work with.</w:t>
      </w:r>
    </w:p>
    <w:p w14:paraId="4FF9A0F4" w14:textId="77777777" w:rsidR="00BB7D4B" w:rsidRDefault="00DD48B2">
      <w:pPr>
        <w:pStyle w:val="Heading2"/>
      </w:pPr>
      <w:r>
        <w:lastRenderedPageBreak/>
        <w:t>CRM Readiness for AI</w:t>
      </w:r>
    </w:p>
    <w:p w14:paraId="36A0A202" w14:textId="77777777" w:rsidR="00BB7D4B" w:rsidRDefault="00DD48B2">
      <w:pPr>
        <w:spacing w:before="80" w:after="160"/>
      </w:pPr>
      <w:r>
        <w:t>For AI to add value in partner operations, the CRM needs to have clean, structured data at its foundation. Key readiness indicators include:</w:t>
      </w:r>
    </w:p>
    <w:p w14:paraId="4B73F9BF" w14:textId="77777777" w:rsidR="00BB7D4B" w:rsidRDefault="00DD48B2">
      <w:pPr>
        <w:pStyle w:val="ListParagraph"/>
        <w:numPr>
          <w:ilvl w:val="0"/>
          <w:numId w:val="2"/>
        </w:numPr>
        <w:spacing w:before="60" w:after="60"/>
      </w:pPr>
      <w:r>
        <w:t>Consistent partner attribution fields populated across all partner-involved opportunities</w:t>
      </w:r>
    </w:p>
    <w:p w14:paraId="3B40F81E" w14:textId="77777777" w:rsidR="00BB7D4B" w:rsidRDefault="00DD48B2">
      <w:pPr>
        <w:pStyle w:val="ListParagraph"/>
        <w:numPr>
          <w:ilvl w:val="0"/>
          <w:numId w:val="2"/>
        </w:numPr>
        <w:spacing w:before="60" w:after="60"/>
      </w:pPr>
      <w:r>
        <w:t>Partner account types, tiers, and segments classified correctly</w:t>
      </w:r>
    </w:p>
    <w:p w14:paraId="467B67AC" w14:textId="77777777" w:rsidR="00BB7D4B" w:rsidRDefault="00DD48B2">
      <w:pPr>
        <w:pStyle w:val="ListParagraph"/>
        <w:numPr>
          <w:ilvl w:val="0"/>
          <w:numId w:val="2"/>
        </w:numPr>
        <w:spacing w:before="60" w:after="60"/>
      </w:pPr>
      <w:r>
        <w:t>Historical partner performance data available for pattern recognition</w:t>
      </w:r>
    </w:p>
    <w:p w14:paraId="074503FC" w14:textId="77777777" w:rsidR="00BB7D4B" w:rsidRDefault="00DD48B2">
      <w:pPr>
        <w:pStyle w:val="ListParagraph"/>
        <w:numPr>
          <w:ilvl w:val="0"/>
          <w:numId w:val="2"/>
        </w:numPr>
        <w:spacing w:before="60" w:after="60"/>
      </w:pPr>
      <w:r>
        <w:t>Deal velocity, win rates, and pipeline data segmented by partner and partner motion</w:t>
      </w:r>
    </w:p>
    <w:p w14:paraId="5F5F2EC1" w14:textId="324558A8" w:rsidR="00BB7D4B" w:rsidRDefault="00DD48B2">
      <w:pPr>
        <w:spacing w:before="80" w:after="160"/>
      </w:pPr>
      <w:r>
        <w:t>Without this foundation, AI tools</w:t>
      </w:r>
      <w:r w:rsidR="00475051">
        <w:t>,</w:t>
      </w:r>
      <w:r>
        <w:t xml:space="preserve"> including predictive scoring, next-best-action recommendations, and automated partner </w:t>
      </w:r>
      <w:proofErr w:type="gramStart"/>
      <w:r>
        <w:t xml:space="preserve">matching </w:t>
      </w:r>
      <w:r w:rsidR="00475051">
        <w:t>,</w:t>
      </w:r>
      <w:proofErr w:type="gramEnd"/>
      <w:r>
        <w:t xml:space="preserve"> will produce unreliable outputs.</w:t>
      </w:r>
    </w:p>
    <w:p w14:paraId="6191986C" w14:textId="77777777" w:rsidR="00BB7D4B" w:rsidRDefault="00DD48B2">
      <w:pPr>
        <w:pStyle w:val="Heading2"/>
      </w:pPr>
      <w:r>
        <w:t>PRM Readiness for AI</w:t>
      </w:r>
    </w:p>
    <w:p w14:paraId="2991602C" w14:textId="77777777" w:rsidR="00BB7D4B" w:rsidRDefault="00DD48B2">
      <w:pPr>
        <w:spacing w:before="80" w:after="160"/>
      </w:pPr>
      <w:r>
        <w:t>On the PRM side, AI readiness is increasingly a product differentiator. Questions to evaluate when assessing a platform’s AI capabilities include:</w:t>
      </w:r>
    </w:p>
    <w:p w14:paraId="492331E7" w14:textId="77777777" w:rsidR="00BB7D4B" w:rsidRDefault="00DD48B2">
      <w:pPr>
        <w:pStyle w:val="ListParagraph"/>
        <w:numPr>
          <w:ilvl w:val="0"/>
          <w:numId w:val="2"/>
        </w:numPr>
        <w:spacing w:before="60" w:after="60"/>
      </w:pPr>
      <w:r>
        <w:t>Does the PRM use AI to surface recommended content or enablement resources to partners based on their current deal stage?</w:t>
      </w:r>
    </w:p>
    <w:p w14:paraId="663E546A" w14:textId="77777777" w:rsidR="00BB7D4B" w:rsidRDefault="00DD48B2">
      <w:pPr>
        <w:pStyle w:val="ListParagraph"/>
        <w:numPr>
          <w:ilvl w:val="0"/>
          <w:numId w:val="2"/>
        </w:numPr>
        <w:spacing w:before="60" w:after="60"/>
      </w:pPr>
      <w:r>
        <w:t>Can the platform flag at-risk partners based on engagement signals or declining activity?</w:t>
      </w:r>
    </w:p>
    <w:p w14:paraId="00395D20" w14:textId="77777777" w:rsidR="00BB7D4B" w:rsidRDefault="00DD48B2">
      <w:pPr>
        <w:pStyle w:val="ListParagraph"/>
        <w:numPr>
          <w:ilvl w:val="0"/>
          <w:numId w:val="2"/>
        </w:numPr>
        <w:spacing w:before="60" w:after="60"/>
      </w:pPr>
      <w:r>
        <w:t>Does it offer automated deal scoring or prioritization for partner-submitted registrations?</w:t>
      </w:r>
    </w:p>
    <w:p w14:paraId="33B63658" w14:textId="77777777" w:rsidR="00BB7D4B" w:rsidRDefault="00DD48B2">
      <w:pPr>
        <w:pStyle w:val="ListParagraph"/>
        <w:numPr>
          <w:ilvl w:val="0"/>
          <w:numId w:val="2"/>
        </w:numPr>
        <w:spacing w:before="60" w:after="60"/>
      </w:pPr>
      <w:r>
        <w:t>Is there AI-assisted onboarding that adapts to partner behavior and completion rates?</w:t>
      </w:r>
    </w:p>
    <w:p w14:paraId="39646196" w14:textId="45941B63" w:rsidR="00BB7D4B" w:rsidRDefault="00DD48B2">
      <w:pPr>
        <w:spacing w:before="80" w:after="160"/>
      </w:pPr>
      <w:r>
        <w:t>Evaluating a platform’s AI roadmap</w:t>
      </w:r>
      <w:r w:rsidR="00475051">
        <w:t>,</w:t>
      </w:r>
      <w:r>
        <w:t xml:space="preserve"> not just its current feature set</w:t>
      </w:r>
      <w:r w:rsidR="00475051">
        <w:t>;</w:t>
      </w:r>
      <w:r>
        <w:t xml:space="preserve"> is increasingly worth including in the selection process.</w:t>
      </w:r>
    </w:p>
    <w:p w14:paraId="5B009B38" w14:textId="77777777" w:rsidR="00BB7D4B" w:rsidRDefault="00DD48B2">
      <w:pPr>
        <w:pStyle w:val="Heading2"/>
      </w:pPr>
      <w:r>
        <w:t>AI-Assisted Partner-to-ICP Matching</w:t>
      </w:r>
    </w:p>
    <w:p w14:paraId="414FAA7B" w14:textId="6FDC3C37" w:rsidR="00BB7D4B" w:rsidRDefault="00DD48B2">
      <w:pPr>
        <w:spacing w:before="80" w:after="160"/>
      </w:pPr>
      <w:r>
        <w:t xml:space="preserve">One of the more impactful emerging applications is using AI to match partners to your customer </w:t>
      </w:r>
      <w:proofErr w:type="gramStart"/>
      <w:r>
        <w:t xml:space="preserve">ICP </w:t>
      </w:r>
      <w:r w:rsidR="00475051">
        <w:t>,</w:t>
      </w:r>
      <w:proofErr w:type="gramEnd"/>
      <w:r>
        <w:t xml:space="preserve"> helping identify which partners are best positioned to open doors with specific segments, verticals, or account profiles.</w:t>
      </w:r>
    </w:p>
    <w:p w14:paraId="284C032E" w14:textId="41B6088A" w:rsidR="00BB7D4B" w:rsidRDefault="00DD48B2">
      <w:pPr>
        <w:spacing w:before="80" w:after="160"/>
      </w:pPr>
      <w:r>
        <w:t xml:space="preserve">If your CRM contains your ideal customer </w:t>
      </w:r>
      <w:proofErr w:type="gramStart"/>
      <w:r>
        <w:t xml:space="preserve">profile </w:t>
      </w:r>
      <w:r w:rsidR="00475051">
        <w:t>,</w:t>
      </w:r>
      <w:proofErr w:type="gramEnd"/>
      <w:r>
        <w:t xml:space="preserve"> firmographics, industry, deal size, use </w:t>
      </w:r>
      <w:proofErr w:type="gramStart"/>
      <w:r>
        <w:t xml:space="preserve">case </w:t>
      </w:r>
      <w:r w:rsidR="00475051">
        <w:t>,</w:t>
      </w:r>
      <w:proofErr w:type="gramEnd"/>
      <w:r>
        <w:t xml:space="preserve"> and your partner records include the markets, verticals, and customer profiles that each partner serves, AI tools can surface the right partner for the right opportunity rather than relying on manual judgment or relationship history.</w:t>
      </w:r>
    </w:p>
    <w:p w14:paraId="0722D507" w14:textId="77777777" w:rsidR="00BB7D4B" w:rsidRDefault="00DD48B2">
      <w:pPr>
        <w:spacing w:before="80" w:after="160"/>
      </w:pPr>
      <w:r>
        <w:t>This capability can operate at several levels:</w:t>
      </w:r>
    </w:p>
    <w:p w14:paraId="5E5334CC" w14:textId="6186D46D" w:rsidR="00BB7D4B" w:rsidRDefault="00DD48B2">
      <w:pPr>
        <w:pStyle w:val="ListParagraph"/>
        <w:numPr>
          <w:ilvl w:val="0"/>
          <w:numId w:val="2"/>
        </w:numPr>
        <w:spacing w:before="60" w:after="60"/>
      </w:pPr>
      <w:r>
        <w:t xml:space="preserve">Opportunity-level </w:t>
      </w:r>
      <w:proofErr w:type="gramStart"/>
      <w:r>
        <w:t xml:space="preserve">matching </w:t>
      </w:r>
      <w:r w:rsidR="00475051">
        <w:t>,</w:t>
      </w:r>
      <w:proofErr w:type="gramEnd"/>
      <w:r>
        <w:t xml:space="preserve"> automatically surfacing the top two or three partners most likely to add value on a specific deal based on historical patterns.</w:t>
      </w:r>
    </w:p>
    <w:p w14:paraId="391D6C59" w14:textId="12FB2266" w:rsidR="00BB7D4B" w:rsidRDefault="00DD48B2">
      <w:pPr>
        <w:pStyle w:val="ListParagraph"/>
        <w:numPr>
          <w:ilvl w:val="0"/>
          <w:numId w:val="2"/>
        </w:numPr>
        <w:spacing w:before="60" w:after="60"/>
      </w:pPr>
      <w:r>
        <w:t xml:space="preserve">Territory-level </w:t>
      </w:r>
      <w:proofErr w:type="gramStart"/>
      <w:r>
        <w:t xml:space="preserve">matching </w:t>
      </w:r>
      <w:r w:rsidR="00475051">
        <w:t>,</w:t>
      </w:r>
      <w:proofErr w:type="gramEnd"/>
      <w:r>
        <w:t xml:space="preserve"> identifying which partners have the strongest coverage and relationships </w:t>
      </w:r>
      <w:proofErr w:type="gramStart"/>
      <w:r>
        <w:t>in a given</w:t>
      </w:r>
      <w:proofErr w:type="gramEnd"/>
      <w:r>
        <w:t xml:space="preserve"> region or vertical.</w:t>
      </w:r>
    </w:p>
    <w:p w14:paraId="38D25DEF" w14:textId="481B3B2A" w:rsidR="00BB7D4B" w:rsidRDefault="00DD48B2">
      <w:pPr>
        <w:pStyle w:val="ListParagraph"/>
        <w:numPr>
          <w:ilvl w:val="0"/>
          <w:numId w:val="2"/>
        </w:numPr>
        <w:spacing w:before="60" w:after="60"/>
      </w:pPr>
      <w:r>
        <w:t xml:space="preserve">Ecosystem gap </w:t>
      </w:r>
      <w:proofErr w:type="gramStart"/>
      <w:r>
        <w:t xml:space="preserve">analysis </w:t>
      </w:r>
      <w:r w:rsidR="00475051">
        <w:t>,</w:t>
      </w:r>
      <w:proofErr w:type="gramEnd"/>
      <w:r>
        <w:t xml:space="preserve"> flagging where partner coverage is thin relative to where your ICP concentrates.</w:t>
      </w:r>
    </w:p>
    <w:p w14:paraId="05796033" w14:textId="77777777" w:rsidR="00BB7D4B" w:rsidRDefault="00DD48B2">
      <w:pPr>
        <w:spacing w:before="80" w:after="160"/>
      </w:pPr>
      <w:r>
        <w:t>For this to work, you need a clearly defined ICP in your CRM, partner accounts enriched with industry and vertical data, historical partner performance by segment, clean opportunity attribution data, and a solid integration between your PRM and CRM.</w:t>
      </w:r>
    </w:p>
    <w:p w14:paraId="1C6C3203" w14:textId="078FBC72" w:rsidR="00BB7D4B" w:rsidRDefault="00DD48B2">
      <w:pPr>
        <w:spacing w:before="80" w:after="160"/>
      </w:pPr>
      <w:r>
        <w:lastRenderedPageBreak/>
        <w:t xml:space="preserve">The readiness question to ask your team: if an AI tool could match partners to your customer ICP today, would it have the data it needs to do that </w:t>
      </w:r>
      <w:proofErr w:type="gramStart"/>
      <w:r>
        <w:t xml:space="preserve">reliably </w:t>
      </w:r>
      <w:r w:rsidR="00475051">
        <w:t>,</w:t>
      </w:r>
      <w:proofErr w:type="gramEnd"/>
      <w:r>
        <w:t xml:space="preserve"> or would it be working from incomplete records and inconsistent fields? That answer tells you where to start.</w:t>
      </w:r>
    </w:p>
    <w:p w14:paraId="7DC75A61" w14:textId="77777777" w:rsidR="00BB7D4B" w:rsidRDefault="00DD48B2">
      <w:r>
        <w:br w:type="page"/>
      </w:r>
    </w:p>
    <w:p w14:paraId="63E32B67" w14:textId="77777777" w:rsidR="00BB7D4B" w:rsidRDefault="00DD48B2">
      <w:pPr>
        <w:pStyle w:val="Heading1"/>
      </w:pPr>
      <w:r>
        <w:lastRenderedPageBreak/>
        <w:t>The 5 CRM Mistakes That Break Partner Programs</w:t>
      </w:r>
    </w:p>
    <w:p w14:paraId="1D050B7A" w14:textId="31268E36" w:rsidR="00BB7D4B" w:rsidRDefault="00DD48B2">
      <w:pPr>
        <w:spacing w:before="80" w:after="160"/>
      </w:pPr>
      <w:r>
        <w:t xml:space="preserve">Most partner infrastructure problems don’t start with the PRM. They start with CRM architecture decisions that were made before the partner program </w:t>
      </w:r>
      <w:proofErr w:type="gramStart"/>
      <w:r>
        <w:t xml:space="preserve">existed </w:t>
      </w:r>
      <w:r w:rsidR="00475051">
        <w:t>,</w:t>
      </w:r>
      <w:proofErr w:type="gramEnd"/>
      <w:r>
        <w:t xml:space="preserve"> or before anyone </w:t>
      </w:r>
      <w:proofErr w:type="gramStart"/>
      <w:r>
        <w:t>considered</w:t>
      </w:r>
      <w:proofErr w:type="gramEnd"/>
      <w:r>
        <w:t xml:space="preserve"> how partners would </w:t>
      </w:r>
      <w:proofErr w:type="gramStart"/>
      <w:r>
        <w:t>actually operate</w:t>
      </w:r>
      <w:proofErr w:type="gramEnd"/>
      <w:r>
        <w:t xml:space="preserve"> within the sales system.</w:t>
      </w:r>
    </w:p>
    <w:p w14:paraId="659600DD" w14:textId="77777777" w:rsidR="00BB7D4B" w:rsidRDefault="00DD48B2">
      <w:pPr>
        <w:spacing w:before="80" w:after="160"/>
      </w:pPr>
      <w:r>
        <w:t>When the CRM isn’t designed with partner workflows in mind, even well-implemented PRMs become difficult to operate and frustrating for partners to use.</w:t>
      </w:r>
    </w:p>
    <w:p w14:paraId="46AC0B4E" w14:textId="77777777" w:rsidR="00BB7D4B" w:rsidRDefault="00DD48B2">
      <w:pPr>
        <w:pStyle w:val="Heading2"/>
      </w:pPr>
      <w:r>
        <w:t>Mistake 1: No Clear Partner Attribution Model</w:t>
      </w:r>
    </w:p>
    <w:p w14:paraId="513A9430" w14:textId="77777777" w:rsidR="00BB7D4B" w:rsidRDefault="00DD48B2">
      <w:pPr>
        <w:spacing w:before="80" w:after="160"/>
      </w:pPr>
      <w:r>
        <w:t>One of the most common issues is the lack of a consistent framework for attributing partner involvement in deals. Many organizations attempt to track partner contribution using a single field, which quickly becomes insufficient when multiple partner motions exist.</w:t>
      </w:r>
    </w:p>
    <w:p w14:paraId="4F53E202" w14:textId="77777777" w:rsidR="00BB7D4B" w:rsidRDefault="00DD48B2">
      <w:pPr>
        <w:spacing w:before="80" w:after="160"/>
      </w:pPr>
      <w:r>
        <w:t>Common symptoms include partner sourced deals being logged inconsistently across the team, no mechanism for tracking partner influenced opportunities, and multiple partners on a single deal with no attribution structure. Without a clear attribution model, it becomes nearly impossible to measure partner contribution accurately, build meaningful partner scorecards, or defend partner program ROI internally.</w:t>
      </w:r>
    </w:p>
    <w:p w14:paraId="60124822" w14:textId="77777777" w:rsidR="00BB7D4B" w:rsidRDefault="00DD48B2">
      <w:pPr>
        <w:pStyle w:val="Heading2"/>
      </w:pPr>
      <w:r>
        <w:t>Mistake 2: Partner Accounts Not Structured Correctly</w:t>
      </w:r>
    </w:p>
    <w:p w14:paraId="38661F49" w14:textId="77777777" w:rsidR="00BB7D4B" w:rsidRDefault="00DD48B2">
      <w:pPr>
        <w:spacing w:before="80" w:after="160"/>
      </w:pPr>
      <w:r>
        <w:t xml:space="preserve">Many CRMs treat partner companies </w:t>
      </w:r>
      <w:proofErr w:type="gramStart"/>
      <w:r>
        <w:t>exactly the same</w:t>
      </w:r>
      <w:proofErr w:type="gramEnd"/>
      <w:r>
        <w:t xml:space="preserve"> as customer accounts. This creates operational problems that compound over time: partner contacts get mixed with customer contacts in reporting, partner performance reporting requires manual filtering, and partner account ownership becomes unclear or contested.</w:t>
      </w:r>
    </w:p>
    <w:p w14:paraId="40CB12AE" w14:textId="0A038E90" w:rsidR="00BB7D4B" w:rsidRDefault="00DD48B2">
      <w:pPr>
        <w:spacing w:before="80" w:after="160"/>
      </w:pPr>
      <w:r>
        <w:t xml:space="preserve">Strong partner CRM </w:t>
      </w:r>
      <w:proofErr w:type="gramStart"/>
      <w:r>
        <w:t>architectures define</w:t>
      </w:r>
      <w:proofErr w:type="gramEnd"/>
      <w:r>
        <w:t xml:space="preserve"> a partner account type, </w:t>
      </w:r>
      <w:proofErr w:type="gramStart"/>
      <w:r>
        <w:t>include</w:t>
      </w:r>
      <w:proofErr w:type="gramEnd"/>
      <w:r>
        <w:t xml:space="preserve"> partner segmentation fields, and </w:t>
      </w:r>
      <w:proofErr w:type="gramStart"/>
      <w:r>
        <w:t>establish</w:t>
      </w:r>
      <w:proofErr w:type="gramEnd"/>
      <w:r>
        <w:t xml:space="preserve"> territory alignment for partner </w:t>
      </w:r>
      <w:proofErr w:type="gramStart"/>
      <w:r>
        <w:t xml:space="preserve">coverage </w:t>
      </w:r>
      <w:r w:rsidR="00475051">
        <w:t>,</w:t>
      </w:r>
      <w:proofErr w:type="gramEnd"/>
      <w:r>
        <w:t xml:space="preserve"> enabling the same analytical rigor applied to customer accounts.</w:t>
      </w:r>
    </w:p>
    <w:p w14:paraId="49986AE9" w14:textId="77777777" w:rsidR="00BB7D4B" w:rsidRDefault="00DD48B2">
      <w:pPr>
        <w:pStyle w:val="Heading2"/>
      </w:pPr>
      <w:r>
        <w:t>Mistake 3: Missing Fields for Partner Analysis</w:t>
      </w:r>
    </w:p>
    <w:p w14:paraId="774A5458" w14:textId="77777777" w:rsidR="00BB7D4B" w:rsidRDefault="00DD48B2">
      <w:pPr>
        <w:spacing w:before="80" w:after="160"/>
      </w:pPr>
      <w:r>
        <w:t>Partner teams often attempt to measure performance without the right data structure in place. The most commonly missing fields include partner sourced pipeline (separate from partner influenced), partner motion type, partner tier and program status, and partner account owner assignment.</w:t>
      </w:r>
    </w:p>
    <w:p w14:paraId="79929CCA" w14:textId="7DE007FF" w:rsidR="00BB7D4B" w:rsidRDefault="00DD48B2">
      <w:pPr>
        <w:spacing w:before="80" w:after="160"/>
      </w:pPr>
      <w:r>
        <w:t xml:space="preserve">Without these fields, partner performance reporting typically devolves into manual data cleanup or spreadsheet-based </w:t>
      </w:r>
      <w:proofErr w:type="gramStart"/>
      <w:r>
        <w:t xml:space="preserve">tracking </w:t>
      </w:r>
      <w:r w:rsidR="00475051">
        <w:t>,</w:t>
      </w:r>
      <w:proofErr w:type="gramEnd"/>
      <w:r>
        <w:t xml:space="preserve"> neither of which scales.</w:t>
      </w:r>
    </w:p>
    <w:p w14:paraId="0895F616" w14:textId="77777777" w:rsidR="00BB7D4B" w:rsidRDefault="00DD48B2">
      <w:pPr>
        <w:pStyle w:val="Heading2"/>
      </w:pPr>
      <w:r>
        <w:t>Mistake 4: Custom Objects That Don’t Integrate With the PRM</w:t>
      </w:r>
    </w:p>
    <w:p w14:paraId="7C0E517A" w14:textId="77777777" w:rsidR="00BB7D4B" w:rsidRDefault="00DD48B2">
      <w:pPr>
        <w:spacing w:before="80" w:after="160"/>
      </w:pPr>
      <w:r>
        <w:t xml:space="preserve">Partner programs commonly require custom CRM </w:t>
      </w:r>
      <w:proofErr w:type="gramStart"/>
      <w:r>
        <w:t>objects</w:t>
      </w:r>
      <w:proofErr w:type="gramEnd"/>
      <w:r>
        <w:t xml:space="preserve"> to track certifications, joint business plans, MDF participation, and engagement activities. However, not all PRMs integrate cleanly with custom CRM architecture.</w:t>
      </w:r>
    </w:p>
    <w:p w14:paraId="4C58AAF5" w14:textId="09E7A657" w:rsidR="00BB7D4B" w:rsidRDefault="00DD48B2">
      <w:pPr>
        <w:spacing w:before="80" w:after="160"/>
      </w:pPr>
      <w:r>
        <w:t xml:space="preserve">If a PRM requires recreating or duplicating this data inside its own system, operational overhead increases significantly and data integrity degrades over time. Before selecting a PRM, validate whether it can work cleanly with your existing CRM’s custom object </w:t>
      </w:r>
      <w:proofErr w:type="gramStart"/>
      <w:r>
        <w:t xml:space="preserve">architecture </w:t>
      </w:r>
      <w:r w:rsidR="00475051">
        <w:t>,</w:t>
      </w:r>
      <w:proofErr w:type="gramEnd"/>
      <w:r>
        <w:t xml:space="preserve"> not just with standard objects.</w:t>
      </w:r>
    </w:p>
    <w:p w14:paraId="00A359BE" w14:textId="77777777" w:rsidR="00BB7D4B" w:rsidRDefault="00DD48B2">
      <w:pPr>
        <w:pStyle w:val="Heading2"/>
      </w:pPr>
      <w:r>
        <w:lastRenderedPageBreak/>
        <w:t>Mistake 5: Overcomplicated Deal Registration Workflows</w:t>
      </w:r>
    </w:p>
    <w:p w14:paraId="15B66E3F" w14:textId="6A68A780" w:rsidR="00BB7D4B" w:rsidRDefault="00DD48B2">
      <w:pPr>
        <w:spacing w:before="80" w:after="160"/>
      </w:pPr>
      <w:r>
        <w:t xml:space="preserve">Deal registration is often the most visible feature of a </w:t>
      </w:r>
      <w:proofErr w:type="gramStart"/>
      <w:r>
        <w:t xml:space="preserve">PRM </w:t>
      </w:r>
      <w:r w:rsidR="00475051">
        <w:t>,</w:t>
      </w:r>
      <w:proofErr w:type="gramEnd"/>
      <w:r>
        <w:t xml:space="preserve"> and it’s also where many programs introduce unnecessary complexity. Common problems include too many required fields during submission, multi-stage approval processes that delay partner response times, and manual conflict resolution with no clear SLA.</w:t>
      </w:r>
    </w:p>
    <w:p w14:paraId="12B01E6A" w14:textId="20F8300B" w:rsidR="00BB7D4B" w:rsidRDefault="00DD48B2">
      <w:pPr>
        <w:spacing w:before="80" w:after="160"/>
      </w:pPr>
      <w:r>
        <w:t xml:space="preserve">Partners should be able to register a deal quickly and receive clear, timely feedback on its status. When deal registration becomes difficult or opaque, partners stop using </w:t>
      </w:r>
      <w:proofErr w:type="gramStart"/>
      <w:r>
        <w:t xml:space="preserve">it </w:t>
      </w:r>
      <w:r w:rsidR="00475051">
        <w:t>,</w:t>
      </w:r>
      <w:proofErr w:type="gramEnd"/>
      <w:r>
        <w:t xml:space="preserve"> and the program loses visibility into the pipeline it’s supposed to be driving.</w:t>
      </w:r>
    </w:p>
    <w:p w14:paraId="098B77FB" w14:textId="77777777" w:rsidR="00BB7D4B" w:rsidRDefault="00BB7D4B">
      <w:pPr>
        <w:pBdr>
          <w:bottom w:val="single" w:sz="4" w:space="8" w:color="A1ACA6"/>
        </w:pBdr>
        <w:spacing w:before="160" w:after="160"/>
      </w:pPr>
    </w:p>
    <w:p w14:paraId="46867B23" w14:textId="77777777" w:rsidR="00BB7D4B" w:rsidRDefault="00DD48B2">
      <w:pPr>
        <w:spacing w:before="80" w:after="160"/>
      </w:pPr>
      <w:r>
        <w:t xml:space="preserve">The most important decision is not which PRM you buy. It’s whether your CRM architecture </w:t>
      </w:r>
      <w:proofErr w:type="gramStart"/>
      <w:r>
        <w:t>is capable of supporting</w:t>
      </w:r>
      <w:proofErr w:type="gramEnd"/>
      <w:r>
        <w:t xml:space="preserve"> partner operations at all.</w:t>
      </w:r>
    </w:p>
    <w:p w14:paraId="302ED096" w14:textId="77777777" w:rsidR="00BB7D4B" w:rsidRDefault="00DD48B2">
      <w:pPr>
        <w:spacing w:before="80" w:after="160"/>
      </w:pPr>
      <w:r>
        <w:t>Organizations that design their CRM around partner workflows tend to build ecosystems that scale. Those that start with the PRM often end up redesigning everything later.</w:t>
      </w:r>
    </w:p>
    <w:p w14:paraId="0F04C4A4" w14:textId="77777777" w:rsidR="00BB7D4B" w:rsidRDefault="00BB7D4B">
      <w:pPr>
        <w:spacing w:before="200" w:after="120"/>
      </w:pPr>
    </w:p>
    <w:p w14:paraId="44F87941" w14:textId="77777777" w:rsidR="00BB7D4B" w:rsidRDefault="00DD48B2">
      <w:pPr>
        <w:jc w:val="center"/>
      </w:pPr>
      <w:r>
        <w:rPr>
          <w:color w:val="46624C"/>
        </w:rPr>
        <w:t>jamiereidchannelstrategy.com</w:t>
      </w:r>
    </w:p>
    <w:p w14:paraId="0B509CDD" w14:textId="77777777" w:rsidR="00BB7D4B" w:rsidRDefault="00DD48B2">
      <w:pPr>
        <w:spacing w:before="60"/>
        <w:jc w:val="center"/>
      </w:pPr>
      <w:r>
        <w:rPr>
          <w:i/>
          <w:iCs/>
          <w:color w:val="A1ACA6"/>
          <w:sz w:val="20"/>
          <w:szCs w:val="20"/>
        </w:rPr>
        <w:t xml:space="preserve">Partner Ecosystem </w:t>
      </w:r>
      <w:proofErr w:type="gramStart"/>
      <w:r>
        <w:rPr>
          <w:i/>
          <w:iCs/>
          <w:color w:val="A1ACA6"/>
          <w:sz w:val="20"/>
          <w:szCs w:val="20"/>
        </w:rPr>
        <w:t>Strategy  ·</w:t>
      </w:r>
      <w:proofErr w:type="gramEnd"/>
      <w:r>
        <w:rPr>
          <w:i/>
          <w:iCs/>
          <w:color w:val="A1ACA6"/>
          <w:sz w:val="20"/>
          <w:szCs w:val="20"/>
        </w:rPr>
        <w:t xml:space="preserve">  Channel Program </w:t>
      </w:r>
      <w:proofErr w:type="gramStart"/>
      <w:r>
        <w:rPr>
          <w:i/>
          <w:iCs/>
          <w:color w:val="A1ACA6"/>
          <w:sz w:val="20"/>
          <w:szCs w:val="20"/>
        </w:rPr>
        <w:t>Design  ·</w:t>
      </w:r>
      <w:proofErr w:type="gramEnd"/>
      <w:r>
        <w:rPr>
          <w:i/>
          <w:iCs/>
          <w:color w:val="A1ACA6"/>
          <w:sz w:val="20"/>
          <w:szCs w:val="20"/>
        </w:rPr>
        <w:t xml:space="preserve">  Reseller Enablement</w:t>
      </w:r>
    </w:p>
    <w:sectPr w:rsidR="00BB7D4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B5D9" w14:textId="77777777" w:rsidR="00DD48B2" w:rsidRDefault="00DD48B2">
      <w:r>
        <w:separator/>
      </w:r>
    </w:p>
  </w:endnote>
  <w:endnote w:type="continuationSeparator" w:id="0">
    <w:p w14:paraId="284EF1DD" w14:textId="77777777" w:rsidR="00DD48B2" w:rsidRDefault="00DD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D97A" w14:textId="77777777" w:rsidR="00BB7D4B" w:rsidRDefault="00DD48B2">
    <w:pPr>
      <w:jc w:val="center"/>
    </w:pPr>
    <w:r>
      <w:rPr>
        <w:color w:val="A1ACA6"/>
        <w:sz w:val="18"/>
        <w:szCs w:val="18"/>
      </w:rPr>
      <w:t xml:space="preserve">Page </w:t>
    </w:r>
    <w:r>
      <w:rPr>
        <w:color w:val="A1ACA6"/>
        <w:sz w:val="18"/>
        <w:szCs w:val="18"/>
      </w:rPr>
      <w:fldChar w:fldCharType="begin"/>
    </w:r>
    <w:r>
      <w:rPr>
        <w:color w:val="A1ACA6"/>
        <w:sz w:val="18"/>
        <w:szCs w:val="18"/>
      </w:rPr>
      <w:instrText>PAGE</w:instrText>
    </w:r>
    <w:r>
      <w:rPr>
        <w:color w:val="A1ACA6"/>
        <w:sz w:val="18"/>
        <w:szCs w:val="18"/>
      </w:rPr>
      <w:fldChar w:fldCharType="separate"/>
    </w:r>
    <w:r w:rsidR="00475051">
      <w:rPr>
        <w:noProof/>
        <w:color w:val="A1ACA6"/>
        <w:sz w:val="18"/>
        <w:szCs w:val="18"/>
      </w:rPr>
      <w:t>1</w:t>
    </w:r>
    <w:r>
      <w:rPr>
        <w:color w:val="A1AC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3989" w14:textId="77777777" w:rsidR="00DD48B2" w:rsidRDefault="00DD48B2">
      <w:r>
        <w:separator/>
      </w:r>
    </w:p>
  </w:footnote>
  <w:footnote w:type="continuationSeparator" w:id="0">
    <w:p w14:paraId="21E0D1EA" w14:textId="77777777" w:rsidR="00DD48B2" w:rsidRDefault="00DD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FA" w14:textId="77777777" w:rsidR="00BB7D4B" w:rsidRDefault="00DD48B2">
    <w:pPr>
      <w:jc w:val="right"/>
    </w:pPr>
    <w:r>
      <w:rPr>
        <w:i/>
        <w:iCs/>
        <w:color w:val="A1ACA6"/>
        <w:sz w:val="18"/>
        <w:szCs w:val="18"/>
      </w:rPr>
      <w:t>CRM &amp; PRM Architecture for Partner Ecosystems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138"/>
    <w:multiLevelType w:val="hybridMultilevel"/>
    <w:tmpl w:val="73F4C574"/>
    <w:lvl w:ilvl="0" w:tplc="8ECCB4F2">
      <w:start w:val="1"/>
      <w:numFmt w:val="bullet"/>
      <w:lvlText w:val="•"/>
      <w:lvlJc w:val="left"/>
      <w:pPr>
        <w:ind w:left="720" w:hanging="360"/>
      </w:pPr>
    </w:lvl>
    <w:lvl w:ilvl="1" w:tplc="4D24CCCA">
      <w:numFmt w:val="decimal"/>
      <w:lvlText w:val=""/>
      <w:lvlJc w:val="left"/>
    </w:lvl>
    <w:lvl w:ilvl="2" w:tplc="0D0277D2">
      <w:numFmt w:val="decimal"/>
      <w:lvlText w:val=""/>
      <w:lvlJc w:val="left"/>
    </w:lvl>
    <w:lvl w:ilvl="3" w:tplc="18A02252">
      <w:numFmt w:val="decimal"/>
      <w:lvlText w:val=""/>
      <w:lvlJc w:val="left"/>
    </w:lvl>
    <w:lvl w:ilvl="4" w:tplc="E854941A">
      <w:numFmt w:val="decimal"/>
      <w:lvlText w:val=""/>
      <w:lvlJc w:val="left"/>
    </w:lvl>
    <w:lvl w:ilvl="5" w:tplc="345E5994">
      <w:numFmt w:val="decimal"/>
      <w:lvlText w:val=""/>
      <w:lvlJc w:val="left"/>
    </w:lvl>
    <w:lvl w:ilvl="6" w:tplc="09927B60">
      <w:numFmt w:val="decimal"/>
      <w:lvlText w:val=""/>
      <w:lvlJc w:val="left"/>
    </w:lvl>
    <w:lvl w:ilvl="7" w:tplc="78328F4C">
      <w:numFmt w:val="decimal"/>
      <w:lvlText w:val=""/>
      <w:lvlJc w:val="left"/>
    </w:lvl>
    <w:lvl w:ilvl="8" w:tplc="ED82189E">
      <w:numFmt w:val="decimal"/>
      <w:lvlText w:val=""/>
      <w:lvlJc w:val="left"/>
    </w:lvl>
  </w:abstractNum>
  <w:abstractNum w:abstractNumId="1" w15:restartNumberingAfterBreak="0">
    <w:nsid w:val="167E11B9"/>
    <w:multiLevelType w:val="hybridMultilevel"/>
    <w:tmpl w:val="B032E00E"/>
    <w:lvl w:ilvl="0" w:tplc="FD94C1A0">
      <w:start w:val="1"/>
      <w:numFmt w:val="bullet"/>
      <w:lvlText w:val="●"/>
      <w:lvlJc w:val="left"/>
      <w:pPr>
        <w:ind w:left="720" w:hanging="360"/>
      </w:pPr>
    </w:lvl>
    <w:lvl w:ilvl="1" w:tplc="D180A8DE">
      <w:start w:val="1"/>
      <w:numFmt w:val="bullet"/>
      <w:lvlText w:val="○"/>
      <w:lvlJc w:val="left"/>
      <w:pPr>
        <w:ind w:left="1440" w:hanging="360"/>
      </w:pPr>
    </w:lvl>
    <w:lvl w:ilvl="2" w:tplc="C1E2A06E">
      <w:start w:val="1"/>
      <w:numFmt w:val="bullet"/>
      <w:lvlText w:val="■"/>
      <w:lvlJc w:val="left"/>
      <w:pPr>
        <w:ind w:left="2160" w:hanging="360"/>
      </w:pPr>
    </w:lvl>
    <w:lvl w:ilvl="3" w:tplc="25E08D68">
      <w:start w:val="1"/>
      <w:numFmt w:val="bullet"/>
      <w:lvlText w:val="●"/>
      <w:lvlJc w:val="left"/>
      <w:pPr>
        <w:ind w:left="2880" w:hanging="360"/>
      </w:pPr>
    </w:lvl>
    <w:lvl w:ilvl="4" w:tplc="3C760C74">
      <w:start w:val="1"/>
      <w:numFmt w:val="bullet"/>
      <w:lvlText w:val="○"/>
      <w:lvlJc w:val="left"/>
      <w:pPr>
        <w:ind w:left="3600" w:hanging="360"/>
      </w:pPr>
    </w:lvl>
    <w:lvl w:ilvl="5" w:tplc="F9EC9ECC">
      <w:start w:val="1"/>
      <w:numFmt w:val="bullet"/>
      <w:lvlText w:val="■"/>
      <w:lvlJc w:val="left"/>
      <w:pPr>
        <w:ind w:left="4320" w:hanging="360"/>
      </w:pPr>
    </w:lvl>
    <w:lvl w:ilvl="6" w:tplc="9CBC6FFA">
      <w:start w:val="1"/>
      <w:numFmt w:val="bullet"/>
      <w:lvlText w:val="●"/>
      <w:lvlJc w:val="left"/>
      <w:pPr>
        <w:ind w:left="5040" w:hanging="360"/>
      </w:pPr>
    </w:lvl>
    <w:lvl w:ilvl="7" w:tplc="60BC85CA">
      <w:start w:val="1"/>
      <w:numFmt w:val="bullet"/>
      <w:lvlText w:val="●"/>
      <w:lvlJc w:val="left"/>
      <w:pPr>
        <w:ind w:left="5760" w:hanging="360"/>
      </w:pPr>
    </w:lvl>
    <w:lvl w:ilvl="8" w:tplc="0AD86864">
      <w:start w:val="1"/>
      <w:numFmt w:val="bullet"/>
      <w:lvlText w:val="●"/>
      <w:lvlJc w:val="left"/>
      <w:pPr>
        <w:ind w:left="6480" w:hanging="360"/>
      </w:pPr>
    </w:lvl>
  </w:abstractNum>
  <w:abstractNum w:abstractNumId="2" w15:restartNumberingAfterBreak="0">
    <w:nsid w:val="533A1BA6"/>
    <w:multiLevelType w:val="hybridMultilevel"/>
    <w:tmpl w:val="DDFA7398"/>
    <w:lvl w:ilvl="0" w:tplc="2FDA177E">
      <w:start w:val="1"/>
      <w:numFmt w:val="bullet"/>
      <w:lvlText w:val="◦"/>
      <w:lvlJc w:val="left"/>
      <w:pPr>
        <w:ind w:left="1440" w:hanging="360"/>
      </w:pPr>
    </w:lvl>
    <w:lvl w:ilvl="1" w:tplc="AA3AECF6">
      <w:numFmt w:val="decimal"/>
      <w:lvlText w:val=""/>
      <w:lvlJc w:val="left"/>
    </w:lvl>
    <w:lvl w:ilvl="2" w:tplc="4EE40FEC">
      <w:numFmt w:val="decimal"/>
      <w:lvlText w:val=""/>
      <w:lvlJc w:val="left"/>
    </w:lvl>
    <w:lvl w:ilvl="3" w:tplc="36FCA84C">
      <w:numFmt w:val="decimal"/>
      <w:lvlText w:val=""/>
      <w:lvlJc w:val="left"/>
    </w:lvl>
    <w:lvl w:ilvl="4" w:tplc="F2929690">
      <w:numFmt w:val="decimal"/>
      <w:lvlText w:val=""/>
      <w:lvlJc w:val="left"/>
    </w:lvl>
    <w:lvl w:ilvl="5" w:tplc="9AE022B4">
      <w:numFmt w:val="decimal"/>
      <w:lvlText w:val=""/>
      <w:lvlJc w:val="left"/>
    </w:lvl>
    <w:lvl w:ilvl="6" w:tplc="CBDC2B76">
      <w:numFmt w:val="decimal"/>
      <w:lvlText w:val=""/>
      <w:lvlJc w:val="left"/>
    </w:lvl>
    <w:lvl w:ilvl="7" w:tplc="DA8000FC">
      <w:numFmt w:val="decimal"/>
      <w:lvlText w:val=""/>
      <w:lvlJc w:val="left"/>
    </w:lvl>
    <w:lvl w:ilvl="8" w:tplc="00FC08A0">
      <w:numFmt w:val="decimal"/>
      <w:lvlText w:val=""/>
      <w:lvlJc w:val="left"/>
    </w:lvl>
  </w:abstractNum>
  <w:num w:numId="1" w16cid:durableId="1335454902">
    <w:abstractNumId w:val="1"/>
    <w:lvlOverride w:ilvl="0">
      <w:startOverride w:val="1"/>
    </w:lvlOverride>
  </w:num>
  <w:num w:numId="2" w16cid:durableId="1187909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4B"/>
    <w:rsid w:val="00475051"/>
    <w:rsid w:val="00BB7D4B"/>
    <w:rsid w:val="00D500E5"/>
    <w:rsid w:val="00DD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BBF5"/>
  <w15:docId w15:val="{B7E1FE49-22DC-472E-8489-CE65054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2E"/>
      <w:sz w:val="28"/>
      <w:szCs w:val="28"/>
    </w:rPr>
  </w:style>
  <w:style w:type="paragraph" w:styleId="Heading2">
    <w:name w:val="heading 2"/>
    <w:uiPriority w:val="9"/>
    <w:unhideWhenUsed/>
    <w:qFormat/>
    <w:pPr>
      <w:spacing w:before="280" w:after="160"/>
      <w:outlineLvl w:val="1"/>
    </w:pPr>
    <w:rPr>
      <w:b/>
      <w:bCs/>
      <w:color w:val="46624C"/>
      <w:sz w:val="24"/>
      <w:szCs w:val="24"/>
    </w:rPr>
  </w:style>
  <w:style w:type="paragraph" w:styleId="Heading3">
    <w:name w:val="heading 3"/>
    <w:uiPriority w:val="9"/>
    <w:semiHidden/>
    <w:unhideWhenUsed/>
    <w:qFormat/>
    <w:pPr>
      <w:spacing w:before="200" w:after="120"/>
      <w:outlineLvl w:val="2"/>
    </w:pPr>
    <w:rPr>
      <w:b/>
      <w:bCs/>
      <w:color w:val="1B3A2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reid</cp:lastModifiedBy>
  <cp:revision>2</cp:revision>
  <dcterms:created xsi:type="dcterms:W3CDTF">2026-03-06T18:22:00Z</dcterms:created>
  <dcterms:modified xsi:type="dcterms:W3CDTF">2026-03-06T18:22:00Z</dcterms:modified>
</cp:coreProperties>
</file>